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565" w:rsidRDefault="0096459E">
      <w:pPr>
        <w:rPr>
          <w:b/>
          <w:sz w:val="28"/>
          <w:szCs w:val="28"/>
        </w:rPr>
      </w:pPr>
      <w:r w:rsidRPr="0096459E">
        <w:rPr>
          <w:b/>
          <w:noProof/>
          <w:sz w:val="28"/>
          <w:szCs w:val="28"/>
          <w:lang w:val="en-US" w:eastAsia="zh-TW"/>
        </w:rPr>
        <w:pict>
          <v:shapetype id="_x0000_t202" coordsize="21600,21600" o:spt="202" path="m,l,21600r21600,l21600,xe">
            <v:stroke joinstyle="miter"/>
            <v:path gradientshapeok="t" o:connecttype="rect"/>
          </v:shapetype>
          <v:shape id="_x0000_s1026" type="#_x0000_t202" style="position:absolute;margin-left:405pt;margin-top:-3.8pt;width:90.1pt;height:37.65pt;z-index:251660288;mso-width-relative:margin;mso-height-relative:margin">
            <v:textbox>
              <w:txbxContent>
                <w:p w:rsidR="00D01929" w:rsidRPr="000316DD" w:rsidRDefault="00D01929" w:rsidP="000316DD">
                  <w:pPr>
                    <w:rPr>
                      <w:szCs w:val="24"/>
                    </w:rPr>
                  </w:pPr>
                </w:p>
              </w:txbxContent>
            </v:textbox>
          </v:shape>
        </w:pict>
      </w:r>
    </w:p>
    <w:p w:rsidR="00304565" w:rsidRDefault="00304565">
      <w:pPr>
        <w:rPr>
          <w:b/>
          <w:sz w:val="28"/>
          <w:szCs w:val="28"/>
        </w:rPr>
      </w:pPr>
    </w:p>
    <w:p w:rsidR="00304565" w:rsidRDefault="00304565">
      <w:pPr>
        <w:rPr>
          <w:b/>
          <w:sz w:val="28"/>
          <w:szCs w:val="28"/>
        </w:rPr>
      </w:pPr>
    </w:p>
    <w:p w:rsidR="00264C5B" w:rsidRDefault="00264C5B">
      <w:pPr>
        <w:rPr>
          <w:b/>
          <w:sz w:val="72"/>
          <w:szCs w:val="72"/>
        </w:rPr>
      </w:pPr>
    </w:p>
    <w:p w:rsidR="00264C5B" w:rsidRDefault="00264C5B">
      <w:pPr>
        <w:rPr>
          <w:b/>
          <w:sz w:val="72"/>
          <w:szCs w:val="72"/>
        </w:rPr>
      </w:pPr>
    </w:p>
    <w:p w:rsidR="00304565" w:rsidRPr="00264C5B" w:rsidRDefault="00312779">
      <w:pPr>
        <w:rPr>
          <w:b/>
          <w:sz w:val="72"/>
          <w:szCs w:val="72"/>
        </w:rPr>
      </w:pPr>
      <w:r w:rsidRPr="00264C5B">
        <w:rPr>
          <w:b/>
          <w:sz w:val="72"/>
          <w:szCs w:val="72"/>
        </w:rPr>
        <w:t xml:space="preserve">Procurement Strategy </w:t>
      </w:r>
    </w:p>
    <w:p w:rsidR="0017605C" w:rsidRPr="002B79DA" w:rsidRDefault="0017605C">
      <w:pPr>
        <w:rPr>
          <w:b/>
          <w:sz w:val="56"/>
          <w:szCs w:val="56"/>
        </w:rPr>
      </w:pPr>
      <w:r w:rsidRPr="002B79DA">
        <w:rPr>
          <w:b/>
          <w:sz w:val="56"/>
          <w:szCs w:val="56"/>
        </w:rPr>
        <w:t>Sept</w:t>
      </w:r>
      <w:r w:rsidR="002B79DA" w:rsidRPr="002B79DA">
        <w:rPr>
          <w:b/>
          <w:sz w:val="56"/>
          <w:szCs w:val="56"/>
        </w:rPr>
        <w:t>ember</w:t>
      </w:r>
      <w:r w:rsidR="00304565" w:rsidRPr="002B79DA">
        <w:rPr>
          <w:b/>
          <w:sz w:val="56"/>
          <w:szCs w:val="56"/>
        </w:rPr>
        <w:t xml:space="preserve"> </w:t>
      </w:r>
      <w:r w:rsidR="00312779" w:rsidRPr="002B79DA">
        <w:rPr>
          <w:b/>
          <w:sz w:val="56"/>
          <w:szCs w:val="56"/>
        </w:rPr>
        <w:t xml:space="preserve">2018 – </w:t>
      </w:r>
      <w:r w:rsidR="00304565" w:rsidRPr="002B79DA">
        <w:rPr>
          <w:b/>
          <w:sz w:val="56"/>
          <w:szCs w:val="56"/>
        </w:rPr>
        <w:t>March 20</w:t>
      </w:r>
      <w:r w:rsidR="00F81CF7" w:rsidRPr="002B79DA">
        <w:rPr>
          <w:b/>
          <w:sz w:val="56"/>
          <w:szCs w:val="56"/>
        </w:rPr>
        <w:t>21</w:t>
      </w:r>
      <w:r w:rsidR="00304565" w:rsidRPr="002B79DA">
        <w:rPr>
          <w:b/>
          <w:sz w:val="56"/>
          <w:szCs w:val="56"/>
        </w:rPr>
        <w:t xml:space="preserve"> </w:t>
      </w:r>
    </w:p>
    <w:p w:rsidR="00304565" w:rsidRDefault="00304565">
      <w:pPr>
        <w:rPr>
          <w:b/>
        </w:rPr>
      </w:pPr>
    </w:p>
    <w:p w:rsidR="00264C5B" w:rsidRDefault="00264C5B">
      <w:pPr>
        <w:rPr>
          <w:b/>
        </w:rPr>
      </w:pPr>
    </w:p>
    <w:p w:rsidR="00264C5B" w:rsidRDefault="00264C5B">
      <w:pPr>
        <w:rPr>
          <w:b/>
        </w:rPr>
      </w:pPr>
    </w:p>
    <w:p w:rsidR="00264C5B" w:rsidRDefault="00264C5B">
      <w:pPr>
        <w:rPr>
          <w:b/>
        </w:rPr>
      </w:pPr>
    </w:p>
    <w:p w:rsidR="00264C5B" w:rsidRDefault="00264C5B">
      <w:pPr>
        <w:rPr>
          <w:b/>
        </w:rPr>
      </w:pPr>
    </w:p>
    <w:p w:rsidR="00264C5B" w:rsidRDefault="00264C5B">
      <w:pPr>
        <w:rPr>
          <w:b/>
        </w:rPr>
      </w:pPr>
    </w:p>
    <w:p w:rsidR="00304565" w:rsidRDefault="00304565">
      <w:pPr>
        <w:rPr>
          <w:b/>
        </w:rPr>
      </w:pPr>
    </w:p>
    <w:p w:rsidR="00CA1239" w:rsidRPr="00CA1239" w:rsidRDefault="00304565" w:rsidP="00CA1239">
      <w:pPr>
        <w:rPr>
          <w:rFonts w:cs="Arial"/>
        </w:rPr>
      </w:pPr>
      <w:r>
        <w:br w:type="page"/>
      </w:r>
      <w:r w:rsidR="00CA1239" w:rsidRPr="00CA1239">
        <w:rPr>
          <w:rFonts w:cs="Arial"/>
        </w:rPr>
        <w:lastRenderedPageBreak/>
        <w:t>VERSION 0.</w:t>
      </w:r>
      <w:r w:rsidR="00515CBA">
        <w:rPr>
          <w:rFonts w:cs="Arial"/>
        </w:rPr>
        <w:t>0</w:t>
      </w:r>
      <w:r w:rsidR="0017605C">
        <w:rPr>
          <w:rFonts w:cs="Arial"/>
        </w:rPr>
        <w:t>1</w:t>
      </w:r>
    </w:p>
    <w:p w:rsidR="00CA1239" w:rsidRPr="00CA1239" w:rsidRDefault="00CA1239" w:rsidP="00CA1239">
      <w:pPr>
        <w:autoSpaceDE w:val="0"/>
        <w:autoSpaceDN w:val="0"/>
        <w:adjustRightInd w:val="0"/>
        <w:spacing w:after="0" w:line="240" w:lineRule="auto"/>
        <w:rPr>
          <w:rFonts w:cs="Arial"/>
          <w:b/>
          <w:bCs/>
        </w:rPr>
      </w:pPr>
      <w:r w:rsidRPr="00CA1239">
        <w:rPr>
          <w:rFonts w:cs="Arial"/>
          <w:b/>
          <w:bCs/>
        </w:rPr>
        <w:t>DOCUMENT CONTROL SHEET:</w:t>
      </w:r>
    </w:p>
    <w:p w:rsidR="00CA1239" w:rsidRPr="00CA1239" w:rsidRDefault="00CA1239" w:rsidP="00CA1239">
      <w:pPr>
        <w:autoSpaceDE w:val="0"/>
        <w:autoSpaceDN w:val="0"/>
        <w:adjustRightInd w:val="0"/>
        <w:spacing w:after="0" w:line="240" w:lineRule="auto"/>
        <w:rPr>
          <w:rFonts w:cs="Arial"/>
          <w:b/>
          <w:bCs/>
        </w:rPr>
      </w:pPr>
    </w:p>
    <w:p w:rsidR="00CA1239" w:rsidRPr="00CA1239" w:rsidRDefault="00CA1239" w:rsidP="00CA1239">
      <w:pPr>
        <w:autoSpaceDE w:val="0"/>
        <w:autoSpaceDN w:val="0"/>
        <w:adjustRightInd w:val="0"/>
        <w:spacing w:after="0" w:line="240" w:lineRule="auto"/>
        <w:rPr>
          <w:rFonts w:cs="Arial"/>
          <w:b/>
          <w:bCs/>
        </w:rPr>
      </w:pPr>
      <w:r w:rsidRPr="00CA1239">
        <w:rPr>
          <w:rFonts w:cs="Arial"/>
          <w:b/>
          <w:bCs/>
        </w:rPr>
        <w:t>Key Information:</w:t>
      </w:r>
    </w:p>
    <w:p w:rsidR="00CA1239" w:rsidRPr="00CA1239" w:rsidRDefault="00CA1239" w:rsidP="00CA1239">
      <w:pPr>
        <w:autoSpaceDE w:val="0"/>
        <w:autoSpaceDN w:val="0"/>
        <w:adjustRightInd w:val="0"/>
        <w:spacing w:after="0" w:line="240" w:lineRule="auto"/>
        <w:rPr>
          <w:rFonts w:cs="Arial"/>
          <w:b/>
          <w:bCs/>
        </w:rPr>
      </w:pPr>
    </w:p>
    <w:tbl>
      <w:tblPr>
        <w:tblStyle w:val="TableGrid"/>
        <w:tblW w:w="0" w:type="auto"/>
        <w:tblLook w:val="04A0"/>
      </w:tblPr>
      <w:tblGrid>
        <w:gridCol w:w="4621"/>
        <w:gridCol w:w="4621"/>
      </w:tblGrid>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Title:</w:t>
            </w:r>
          </w:p>
        </w:tc>
        <w:tc>
          <w:tcPr>
            <w:tcW w:w="4621" w:type="dxa"/>
          </w:tcPr>
          <w:p w:rsidR="00CA1239" w:rsidRPr="00CA1239" w:rsidRDefault="00CA1239" w:rsidP="00CA1239">
            <w:pPr>
              <w:autoSpaceDE w:val="0"/>
              <w:autoSpaceDN w:val="0"/>
              <w:adjustRightInd w:val="0"/>
              <w:rPr>
                <w:rFonts w:cs="Arial"/>
                <w:bCs/>
              </w:rPr>
            </w:pPr>
            <w:r w:rsidRPr="00CA1239">
              <w:rPr>
                <w:rFonts w:cs="Arial"/>
                <w:bCs/>
              </w:rPr>
              <w:t xml:space="preserve"> Procurement Strategy </w:t>
            </w:r>
            <w:r w:rsidR="0017605C">
              <w:rPr>
                <w:rFonts w:cs="Arial"/>
                <w:bCs/>
              </w:rPr>
              <w:t xml:space="preserve">Sept </w:t>
            </w:r>
            <w:r w:rsidRPr="00CA1239">
              <w:rPr>
                <w:rFonts w:cs="Arial"/>
                <w:bCs/>
              </w:rPr>
              <w:t>201</w:t>
            </w:r>
            <w:r>
              <w:rPr>
                <w:rFonts w:cs="Arial"/>
                <w:bCs/>
              </w:rPr>
              <w:t>8</w:t>
            </w:r>
            <w:r w:rsidRPr="00CA1239">
              <w:rPr>
                <w:rFonts w:cs="Arial"/>
                <w:bCs/>
              </w:rPr>
              <w:t xml:space="preserve"> </w:t>
            </w:r>
            <w:r w:rsidR="0017605C">
              <w:rPr>
                <w:rFonts w:cs="Arial"/>
                <w:bCs/>
              </w:rPr>
              <w:t>–</w:t>
            </w:r>
            <w:r w:rsidRPr="00CA1239">
              <w:rPr>
                <w:rFonts w:cs="Arial"/>
                <w:bCs/>
              </w:rPr>
              <w:t xml:space="preserve"> </w:t>
            </w:r>
            <w:r w:rsidR="0017605C">
              <w:rPr>
                <w:rFonts w:cs="Arial"/>
                <w:bCs/>
              </w:rPr>
              <w:t xml:space="preserve">March </w:t>
            </w:r>
            <w:r w:rsidRPr="00CA1239">
              <w:rPr>
                <w:rFonts w:cs="Arial"/>
                <w:bCs/>
              </w:rPr>
              <w:t>20</w:t>
            </w:r>
            <w:r>
              <w:rPr>
                <w:rFonts w:cs="Arial"/>
                <w:bCs/>
              </w:rPr>
              <w:t>2</w:t>
            </w:r>
            <w:r w:rsidRPr="00CA1239">
              <w:rPr>
                <w:rFonts w:cs="Arial"/>
                <w:bCs/>
              </w:rPr>
              <w:t>1</w:t>
            </w:r>
          </w:p>
        </w:tc>
      </w:tr>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Date Published/Issued:</w:t>
            </w:r>
          </w:p>
        </w:tc>
        <w:tc>
          <w:tcPr>
            <w:tcW w:w="4621" w:type="dxa"/>
          </w:tcPr>
          <w:p w:rsidR="00CA1239" w:rsidRPr="00CA1239" w:rsidRDefault="00CA1239" w:rsidP="00CA1239">
            <w:pPr>
              <w:autoSpaceDE w:val="0"/>
              <w:autoSpaceDN w:val="0"/>
              <w:adjustRightInd w:val="0"/>
              <w:rPr>
                <w:rFonts w:cs="Arial"/>
                <w:bCs/>
              </w:rPr>
            </w:pPr>
          </w:p>
        </w:tc>
      </w:tr>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Date Effective From:</w:t>
            </w:r>
          </w:p>
        </w:tc>
        <w:tc>
          <w:tcPr>
            <w:tcW w:w="4621" w:type="dxa"/>
          </w:tcPr>
          <w:p w:rsidR="00CA1239" w:rsidRPr="00CA1239" w:rsidRDefault="00CA1239" w:rsidP="00CA1239">
            <w:pPr>
              <w:autoSpaceDE w:val="0"/>
              <w:autoSpaceDN w:val="0"/>
              <w:adjustRightInd w:val="0"/>
              <w:rPr>
                <w:rFonts w:cs="Arial"/>
                <w:bCs/>
              </w:rPr>
            </w:pPr>
          </w:p>
        </w:tc>
      </w:tr>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Version/Issue Number:</w:t>
            </w:r>
          </w:p>
        </w:tc>
        <w:tc>
          <w:tcPr>
            <w:tcW w:w="4621" w:type="dxa"/>
          </w:tcPr>
          <w:p w:rsidR="0017605C" w:rsidRPr="00CA1239" w:rsidRDefault="00CA1239" w:rsidP="00344FA6">
            <w:pPr>
              <w:autoSpaceDE w:val="0"/>
              <w:autoSpaceDN w:val="0"/>
              <w:adjustRightInd w:val="0"/>
              <w:rPr>
                <w:rFonts w:cs="Arial"/>
                <w:bCs/>
              </w:rPr>
            </w:pPr>
            <w:r w:rsidRPr="00CA1239">
              <w:rPr>
                <w:rFonts w:cs="Arial"/>
                <w:bCs/>
              </w:rPr>
              <w:t>0.</w:t>
            </w:r>
            <w:r>
              <w:rPr>
                <w:rFonts w:cs="Arial"/>
                <w:bCs/>
              </w:rPr>
              <w:t>0</w:t>
            </w:r>
            <w:r w:rsidR="0017605C">
              <w:rPr>
                <w:rFonts w:cs="Arial"/>
                <w:bCs/>
              </w:rPr>
              <w:t>1</w:t>
            </w:r>
          </w:p>
        </w:tc>
      </w:tr>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Document Type:</w:t>
            </w:r>
          </w:p>
        </w:tc>
        <w:tc>
          <w:tcPr>
            <w:tcW w:w="4621" w:type="dxa"/>
          </w:tcPr>
          <w:p w:rsidR="00CA1239" w:rsidRPr="00CA1239" w:rsidRDefault="00CA1239" w:rsidP="00CA1239">
            <w:pPr>
              <w:autoSpaceDE w:val="0"/>
              <w:autoSpaceDN w:val="0"/>
              <w:adjustRightInd w:val="0"/>
              <w:rPr>
                <w:rFonts w:cs="Arial"/>
                <w:bCs/>
              </w:rPr>
            </w:pPr>
            <w:r w:rsidRPr="00CA1239">
              <w:rPr>
                <w:rFonts w:cs="Arial"/>
                <w:bCs/>
              </w:rPr>
              <w:t>Strategy</w:t>
            </w:r>
          </w:p>
        </w:tc>
      </w:tr>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Document status:</w:t>
            </w:r>
          </w:p>
        </w:tc>
        <w:tc>
          <w:tcPr>
            <w:tcW w:w="4621" w:type="dxa"/>
          </w:tcPr>
          <w:p w:rsidR="00CA1239" w:rsidRPr="00CA1239" w:rsidRDefault="000425C2" w:rsidP="00CA1239">
            <w:pPr>
              <w:autoSpaceDE w:val="0"/>
              <w:autoSpaceDN w:val="0"/>
              <w:adjustRightInd w:val="0"/>
              <w:rPr>
                <w:rFonts w:cs="Arial"/>
                <w:bCs/>
              </w:rPr>
            </w:pPr>
            <w:r>
              <w:rPr>
                <w:rFonts w:cs="Arial"/>
                <w:bCs/>
              </w:rPr>
              <w:t>Complete</w:t>
            </w:r>
          </w:p>
        </w:tc>
      </w:tr>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Author:</w:t>
            </w:r>
          </w:p>
        </w:tc>
        <w:tc>
          <w:tcPr>
            <w:tcW w:w="4621" w:type="dxa"/>
          </w:tcPr>
          <w:p w:rsidR="00CA1239" w:rsidRPr="00CA1239" w:rsidRDefault="0017605C" w:rsidP="00CA1239">
            <w:pPr>
              <w:autoSpaceDE w:val="0"/>
              <w:autoSpaceDN w:val="0"/>
              <w:adjustRightInd w:val="0"/>
              <w:rPr>
                <w:rFonts w:cs="Arial"/>
                <w:bCs/>
              </w:rPr>
            </w:pPr>
            <w:r>
              <w:rPr>
                <w:rFonts w:cs="Arial"/>
                <w:bCs/>
              </w:rPr>
              <w:t>Brian Laughland</w:t>
            </w:r>
          </w:p>
        </w:tc>
      </w:tr>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Owner:</w:t>
            </w:r>
          </w:p>
        </w:tc>
        <w:tc>
          <w:tcPr>
            <w:tcW w:w="4621" w:type="dxa"/>
          </w:tcPr>
          <w:p w:rsidR="00CA1239" w:rsidRPr="00CA1239" w:rsidRDefault="00CA1239" w:rsidP="00CA1239">
            <w:pPr>
              <w:autoSpaceDE w:val="0"/>
              <w:autoSpaceDN w:val="0"/>
              <w:adjustRightInd w:val="0"/>
              <w:rPr>
                <w:rFonts w:cs="Arial"/>
                <w:bCs/>
              </w:rPr>
            </w:pPr>
            <w:r w:rsidRPr="00CA1239">
              <w:rPr>
                <w:rFonts w:cs="Arial"/>
                <w:bCs/>
              </w:rPr>
              <w:t>Procurement</w:t>
            </w:r>
          </w:p>
        </w:tc>
      </w:tr>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Approver</w:t>
            </w:r>
            <w:r w:rsidR="00515CBA">
              <w:rPr>
                <w:rFonts w:cs="Arial"/>
                <w:b/>
                <w:bCs/>
              </w:rPr>
              <w:t>s</w:t>
            </w:r>
            <w:r w:rsidRPr="00CA1239">
              <w:rPr>
                <w:rFonts w:cs="Arial"/>
                <w:b/>
                <w:bCs/>
              </w:rPr>
              <w:t>:</w:t>
            </w:r>
          </w:p>
        </w:tc>
        <w:tc>
          <w:tcPr>
            <w:tcW w:w="4621" w:type="dxa"/>
          </w:tcPr>
          <w:p w:rsidR="00CA1239" w:rsidRPr="00CA1239" w:rsidRDefault="0017605C" w:rsidP="009442AE">
            <w:pPr>
              <w:autoSpaceDE w:val="0"/>
              <w:autoSpaceDN w:val="0"/>
              <w:adjustRightInd w:val="0"/>
              <w:rPr>
                <w:rFonts w:cs="Arial"/>
                <w:bCs/>
              </w:rPr>
            </w:pPr>
            <w:r>
              <w:rPr>
                <w:rFonts w:cs="Arial"/>
                <w:bCs/>
              </w:rPr>
              <w:t>Golden Jubilee Foundation (Executive Team)</w:t>
            </w:r>
          </w:p>
        </w:tc>
      </w:tr>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Contact:</w:t>
            </w:r>
          </w:p>
        </w:tc>
        <w:tc>
          <w:tcPr>
            <w:tcW w:w="4621" w:type="dxa"/>
          </w:tcPr>
          <w:p w:rsidR="00CA1239" w:rsidRPr="00CA1239" w:rsidRDefault="004E1D9B" w:rsidP="00CA1239">
            <w:pPr>
              <w:autoSpaceDE w:val="0"/>
              <w:autoSpaceDN w:val="0"/>
              <w:adjustRightInd w:val="0"/>
              <w:rPr>
                <w:rFonts w:cs="Arial"/>
                <w:bCs/>
              </w:rPr>
            </w:pPr>
            <w:r>
              <w:rPr>
                <w:rFonts w:cs="Arial"/>
                <w:bCs/>
              </w:rPr>
              <w:t>Brian Laughland (014</w:t>
            </w:r>
            <w:r w:rsidR="0097351C">
              <w:rPr>
                <w:rFonts w:cs="Arial"/>
                <w:bCs/>
              </w:rPr>
              <w:t>1 951 5062</w:t>
            </w:r>
            <w:r w:rsidR="00CA1239" w:rsidRPr="00CA1239">
              <w:rPr>
                <w:rFonts w:cs="Arial"/>
                <w:bCs/>
              </w:rPr>
              <w:t>)</w:t>
            </w:r>
          </w:p>
        </w:tc>
      </w:tr>
      <w:tr w:rsidR="00CA1239" w:rsidRPr="00CA1239" w:rsidTr="00CA1239">
        <w:tc>
          <w:tcPr>
            <w:tcW w:w="4621" w:type="dxa"/>
          </w:tcPr>
          <w:p w:rsidR="00CA1239" w:rsidRPr="00CA1239" w:rsidRDefault="00CA1239" w:rsidP="00CA1239">
            <w:pPr>
              <w:autoSpaceDE w:val="0"/>
              <w:autoSpaceDN w:val="0"/>
              <w:adjustRightInd w:val="0"/>
              <w:rPr>
                <w:rFonts w:cs="Arial"/>
                <w:b/>
                <w:bCs/>
              </w:rPr>
            </w:pPr>
            <w:r w:rsidRPr="00CA1239">
              <w:rPr>
                <w:rFonts w:cs="Arial"/>
                <w:b/>
                <w:bCs/>
              </w:rPr>
              <w:t>File Location:</w:t>
            </w:r>
          </w:p>
        </w:tc>
        <w:tc>
          <w:tcPr>
            <w:tcW w:w="4621" w:type="dxa"/>
          </w:tcPr>
          <w:p w:rsidR="00CA1239" w:rsidRPr="00CA1239" w:rsidRDefault="0097351C" w:rsidP="00CA1239">
            <w:pPr>
              <w:autoSpaceDE w:val="0"/>
              <w:autoSpaceDN w:val="0"/>
              <w:adjustRightInd w:val="0"/>
              <w:rPr>
                <w:rFonts w:cs="Arial"/>
                <w:bCs/>
              </w:rPr>
            </w:pPr>
            <w:r>
              <w:rPr>
                <w:rFonts w:cs="Arial"/>
                <w:bCs/>
              </w:rPr>
              <w:t xml:space="preserve">Materials </w:t>
            </w:r>
            <w:r w:rsidR="00CA1239" w:rsidRPr="00CA1239">
              <w:rPr>
                <w:rFonts w:cs="Arial"/>
                <w:bCs/>
              </w:rPr>
              <w:t>drive</w:t>
            </w:r>
          </w:p>
        </w:tc>
      </w:tr>
    </w:tbl>
    <w:p w:rsidR="00CA1239" w:rsidRPr="00CA1239" w:rsidRDefault="00CA1239" w:rsidP="00CA1239">
      <w:pPr>
        <w:autoSpaceDE w:val="0"/>
        <w:autoSpaceDN w:val="0"/>
        <w:adjustRightInd w:val="0"/>
        <w:spacing w:after="0" w:line="240" w:lineRule="auto"/>
        <w:rPr>
          <w:rFonts w:cs="Arial"/>
          <w:b/>
          <w:bCs/>
        </w:rPr>
      </w:pPr>
    </w:p>
    <w:p w:rsidR="00CA1239" w:rsidRPr="00CA1239" w:rsidRDefault="00CA1239" w:rsidP="00CA1239">
      <w:pPr>
        <w:autoSpaceDE w:val="0"/>
        <w:autoSpaceDN w:val="0"/>
        <w:adjustRightInd w:val="0"/>
        <w:spacing w:after="0" w:line="240" w:lineRule="auto"/>
        <w:rPr>
          <w:rFonts w:cs="Arial"/>
          <w:b/>
          <w:bCs/>
        </w:rPr>
      </w:pPr>
      <w:r w:rsidRPr="00CA1239">
        <w:rPr>
          <w:rFonts w:cs="Arial"/>
          <w:b/>
          <w:bCs/>
        </w:rPr>
        <w:t>Revision History:</w:t>
      </w:r>
    </w:p>
    <w:p w:rsidR="00CA1239" w:rsidRPr="00CA1239" w:rsidRDefault="00CA1239" w:rsidP="00CA1239">
      <w:pPr>
        <w:autoSpaceDE w:val="0"/>
        <w:autoSpaceDN w:val="0"/>
        <w:adjustRightInd w:val="0"/>
        <w:spacing w:after="0" w:line="240" w:lineRule="auto"/>
        <w:rPr>
          <w:rFonts w:cs="Arial"/>
          <w:b/>
          <w:bCs/>
        </w:rPr>
      </w:pPr>
    </w:p>
    <w:tbl>
      <w:tblPr>
        <w:tblStyle w:val="TableGrid"/>
        <w:tblW w:w="0" w:type="auto"/>
        <w:tblLook w:val="04A0"/>
      </w:tblPr>
      <w:tblGrid>
        <w:gridCol w:w="1384"/>
        <w:gridCol w:w="1276"/>
        <w:gridCol w:w="3544"/>
        <w:gridCol w:w="1417"/>
        <w:gridCol w:w="1621"/>
      </w:tblGrid>
      <w:tr w:rsidR="00CA1239" w:rsidRPr="00CA1239" w:rsidTr="00CA1239">
        <w:tc>
          <w:tcPr>
            <w:tcW w:w="1384" w:type="dxa"/>
          </w:tcPr>
          <w:p w:rsidR="00CA1239" w:rsidRPr="00CA1239" w:rsidRDefault="00CA1239" w:rsidP="00CA1239">
            <w:pPr>
              <w:autoSpaceDE w:val="0"/>
              <w:autoSpaceDN w:val="0"/>
              <w:adjustRightInd w:val="0"/>
              <w:rPr>
                <w:rFonts w:cs="Arial"/>
                <w:b/>
                <w:bCs/>
              </w:rPr>
            </w:pPr>
            <w:r w:rsidRPr="00CA1239">
              <w:rPr>
                <w:rFonts w:cs="Arial"/>
                <w:b/>
                <w:bCs/>
              </w:rPr>
              <w:t>Version:</w:t>
            </w:r>
          </w:p>
        </w:tc>
        <w:tc>
          <w:tcPr>
            <w:tcW w:w="1276" w:type="dxa"/>
          </w:tcPr>
          <w:p w:rsidR="00CA1239" w:rsidRPr="00CA1239" w:rsidRDefault="00CA1239" w:rsidP="00CA1239">
            <w:pPr>
              <w:autoSpaceDE w:val="0"/>
              <w:autoSpaceDN w:val="0"/>
              <w:adjustRightInd w:val="0"/>
              <w:rPr>
                <w:rFonts w:cs="Arial"/>
                <w:b/>
                <w:bCs/>
              </w:rPr>
            </w:pPr>
            <w:r w:rsidRPr="00CA1239">
              <w:rPr>
                <w:rFonts w:cs="Arial"/>
                <w:b/>
                <w:bCs/>
              </w:rPr>
              <w:t>Date:</w:t>
            </w:r>
          </w:p>
        </w:tc>
        <w:tc>
          <w:tcPr>
            <w:tcW w:w="3544" w:type="dxa"/>
          </w:tcPr>
          <w:p w:rsidR="00CA1239" w:rsidRPr="00CA1239" w:rsidRDefault="00CA1239" w:rsidP="00CA1239">
            <w:pPr>
              <w:autoSpaceDE w:val="0"/>
              <w:autoSpaceDN w:val="0"/>
              <w:adjustRightInd w:val="0"/>
              <w:rPr>
                <w:rFonts w:cs="Arial"/>
                <w:b/>
                <w:bCs/>
              </w:rPr>
            </w:pPr>
            <w:r w:rsidRPr="00CA1239">
              <w:rPr>
                <w:rFonts w:cs="Arial"/>
                <w:b/>
                <w:bCs/>
              </w:rPr>
              <w:t>Summary of Changes:</w:t>
            </w:r>
          </w:p>
        </w:tc>
        <w:tc>
          <w:tcPr>
            <w:tcW w:w="1417" w:type="dxa"/>
          </w:tcPr>
          <w:p w:rsidR="00CA1239" w:rsidRPr="00CA1239" w:rsidRDefault="00CA1239" w:rsidP="00CA1239">
            <w:pPr>
              <w:autoSpaceDE w:val="0"/>
              <w:autoSpaceDN w:val="0"/>
              <w:adjustRightInd w:val="0"/>
              <w:rPr>
                <w:rFonts w:cs="Arial"/>
                <w:b/>
                <w:bCs/>
              </w:rPr>
            </w:pPr>
            <w:r w:rsidRPr="00CA1239">
              <w:rPr>
                <w:rFonts w:cs="Arial"/>
                <w:b/>
                <w:bCs/>
              </w:rPr>
              <w:t>Name:</w:t>
            </w:r>
          </w:p>
        </w:tc>
        <w:tc>
          <w:tcPr>
            <w:tcW w:w="1621" w:type="dxa"/>
          </w:tcPr>
          <w:p w:rsidR="00CA1239" w:rsidRPr="00CA1239" w:rsidRDefault="00CA1239" w:rsidP="00CA1239">
            <w:pPr>
              <w:autoSpaceDE w:val="0"/>
              <w:autoSpaceDN w:val="0"/>
              <w:adjustRightInd w:val="0"/>
              <w:rPr>
                <w:rFonts w:cs="Arial"/>
                <w:b/>
                <w:bCs/>
              </w:rPr>
            </w:pPr>
            <w:r w:rsidRPr="00CA1239">
              <w:rPr>
                <w:rFonts w:cs="Arial"/>
                <w:b/>
                <w:bCs/>
              </w:rPr>
              <w:t>Changes</w:t>
            </w:r>
          </w:p>
          <w:p w:rsidR="00CA1239" w:rsidRPr="00CA1239" w:rsidRDefault="00CA1239" w:rsidP="00CA1239">
            <w:pPr>
              <w:autoSpaceDE w:val="0"/>
              <w:autoSpaceDN w:val="0"/>
              <w:adjustRightInd w:val="0"/>
              <w:rPr>
                <w:rFonts w:cs="Arial"/>
                <w:b/>
                <w:bCs/>
              </w:rPr>
            </w:pPr>
            <w:r w:rsidRPr="00CA1239">
              <w:rPr>
                <w:rFonts w:cs="Arial"/>
                <w:b/>
                <w:bCs/>
              </w:rPr>
              <w:t>Marked:</w:t>
            </w:r>
          </w:p>
          <w:p w:rsidR="00CA1239" w:rsidRPr="00CA1239" w:rsidRDefault="00CA1239" w:rsidP="00CA1239">
            <w:pPr>
              <w:autoSpaceDE w:val="0"/>
              <w:autoSpaceDN w:val="0"/>
              <w:adjustRightInd w:val="0"/>
              <w:rPr>
                <w:rFonts w:cs="Arial"/>
                <w:b/>
                <w:bCs/>
              </w:rPr>
            </w:pPr>
          </w:p>
        </w:tc>
      </w:tr>
      <w:tr w:rsidR="00CA1239" w:rsidRPr="00CA1239" w:rsidTr="00CA1239">
        <w:tc>
          <w:tcPr>
            <w:tcW w:w="1384" w:type="dxa"/>
          </w:tcPr>
          <w:p w:rsidR="00CA1239" w:rsidRPr="00CA1239" w:rsidRDefault="00CA1239" w:rsidP="00CA1239">
            <w:pPr>
              <w:autoSpaceDE w:val="0"/>
              <w:autoSpaceDN w:val="0"/>
              <w:adjustRightInd w:val="0"/>
              <w:rPr>
                <w:rFonts w:cs="Arial"/>
                <w:bCs/>
              </w:rPr>
            </w:pPr>
            <w:r w:rsidRPr="00CA1239">
              <w:rPr>
                <w:rFonts w:cs="Arial"/>
                <w:bCs/>
              </w:rPr>
              <w:t>0.01</w:t>
            </w:r>
          </w:p>
        </w:tc>
        <w:tc>
          <w:tcPr>
            <w:tcW w:w="1276" w:type="dxa"/>
          </w:tcPr>
          <w:p w:rsidR="00DD4BC6" w:rsidRDefault="00CA1239" w:rsidP="00DD4BC6">
            <w:pPr>
              <w:autoSpaceDE w:val="0"/>
              <w:autoSpaceDN w:val="0"/>
              <w:adjustRightInd w:val="0"/>
              <w:rPr>
                <w:rFonts w:cs="Arial"/>
                <w:bCs/>
              </w:rPr>
            </w:pPr>
            <w:r>
              <w:rPr>
                <w:rFonts w:cs="Arial"/>
                <w:bCs/>
              </w:rPr>
              <w:t>06/0</w:t>
            </w:r>
            <w:r w:rsidR="000425C2">
              <w:rPr>
                <w:rFonts w:cs="Arial"/>
                <w:bCs/>
              </w:rPr>
              <w:t>8</w:t>
            </w:r>
            <w:r>
              <w:rPr>
                <w:rFonts w:cs="Arial"/>
                <w:bCs/>
              </w:rPr>
              <w:t>/18</w:t>
            </w:r>
          </w:p>
        </w:tc>
        <w:tc>
          <w:tcPr>
            <w:tcW w:w="3544" w:type="dxa"/>
          </w:tcPr>
          <w:p w:rsidR="00CA1239" w:rsidRPr="00CA1239" w:rsidRDefault="00CA1239" w:rsidP="00CA1239">
            <w:pPr>
              <w:autoSpaceDE w:val="0"/>
              <w:autoSpaceDN w:val="0"/>
              <w:adjustRightInd w:val="0"/>
              <w:rPr>
                <w:rFonts w:cs="Arial"/>
                <w:bCs/>
              </w:rPr>
            </w:pPr>
            <w:r w:rsidRPr="00CA1239">
              <w:rPr>
                <w:rFonts w:cs="Arial"/>
                <w:bCs/>
              </w:rPr>
              <w:t>Initial draft</w:t>
            </w:r>
          </w:p>
        </w:tc>
        <w:tc>
          <w:tcPr>
            <w:tcW w:w="1417" w:type="dxa"/>
          </w:tcPr>
          <w:p w:rsidR="00CA1239" w:rsidRPr="00CA1239" w:rsidRDefault="0097351C" w:rsidP="00CA1239">
            <w:pPr>
              <w:autoSpaceDE w:val="0"/>
              <w:autoSpaceDN w:val="0"/>
              <w:adjustRightInd w:val="0"/>
              <w:rPr>
                <w:rFonts w:cs="Arial"/>
                <w:bCs/>
              </w:rPr>
            </w:pPr>
            <w:r>
              <w:rPr>
                <w:rFonts w:cs="Arial"/>
                <w:bCs/>
              </w:rPr>
              <w:t>BL</w:t>
            </w:r>
          </w:p>
        </w:tc>
        <w:tc>
          <w:tcPr>
            <w:tcW w:w="1621" w:type="dxa"/>
          </w:tcPr>
          <w:p w:rsidR="00CA1239" w:rsidRPr="00CA1239" w:rsidRDefault="00CA1239" w:rsidP="00CA1239">
            <w:pPr>
              <w:autoSpaceDE w:val="0"/>
              <w:autoSpaceDN w:val="0"/>
              <w:adjustRightInd w:val="0"/>
              <w:rPr>
                <w:rFonts w:cs="Arial"/>
                <w:bCs/>
              </w:rPr>
            </w:pPr>
          </w:p>
        </w:tc>
      </w:tr>
      <w:tr w:rsidR="00CA1239" w:rsidRPr="00CA1239" w:rsidTr="00CA1239">
        <w:tc>
          <w:tcPr>
            <w:tcW w:w="1384" w:type="dxa"/>
          </w:tcPr>
          <w:p w:rsidR="00CA1239" w:rsidRPr="00CA1239" w:rsidRDefault="00CA1239" w:rsidP="00CA1239">
            <w:pPr>
              <w:autoSpaceDE w:val="0"/>
              <w:autoSpaceDN w:val="0"/>
              <w:adjustRightInd w:val="0"/>
              <w:rPr>
                <w:rFonts w:cs="Arial"/>
                <w:bCs/>
              </w:rPr>
            </w:pPr>
          </w:p>
        </w:tc>
        <w:tc>
          <w:tcPr>
            <w:tcW w:w="1276" w:type="dxa"/>
          </w:tcPr>
          <w:p w:rsidR="00CA1239" w:rsidRPr="00CA1239" w:rsidRDefault="00CA1239" w:rsidP="0051240E">
            <w:pPr>
              <w:autoSpaceDE w:val="0"/>
              <w:autoSpaceDN w:val="0"/>
              <w:adjustRightInd w:val="0"/>
              <w:rPr>
                <w:rFonts w:cs="Arial"/>
                <w:bCs/>
              </w:rPr>
            </w:pPr>
          </w:p>
        </w:tc>
        <w:tc>
          <w:tcPr>
            <w:tcW w:w="3544" w:type="dxa"/>
          </w:tcPr>
          <w:p w:rsidR="00CA1239" w:rsidRPr="00CA1239" w:rsidRDefault="00CA1239" w:rsidP="00CA1239">
            <w:pPr>
              <w:autoSpaceDE w:val="0"/>
              <w:autoSpaceDN w:val="0"/>
              <w:adjustRightInd w:val="0"/>
              <w:rPr>
                <w:rFonts w:cs="Arial"/>
                <w:bCs/>
              </w:rPr>
            </w:pPr>
          </w:p>
        </w:tc>
        <w:tc>
          <w:tcPr>
            <w:tcW w:w="1417" w:type="dxa"/>
          </w:tcPr>
          <w:p w:rsidR="00CA1239" w:rsidRPr="00CA1239" w:rsidRDefault="00CA1239" w:rsidP="00CA1239">
            <w:pPr>
              <w:autoSpaceDE w:val="0"/>
              <w:autoSpaceDN w:val="0"/>
              <w:adjustRightInd w:val="0"/>
              <w:rPr>
                <w:rFonts w:cs="Arial"/>
                <w:bCs/>
              </w:rPr>
            </w:pPr>
          </w:p>
        </w:tc>
        <w:tc>
          <w:tcPr>
            <w:tcW w:w="1621" w:type="dxa"/>
          </w:tcPr>
          <w:p w:rsidR="00CA1239" w:rsidRPr="00CA1239" w:rsidRDefault="00CA1239" w:rsidP="00CA1239">
            <w:pPr>
              <w:autoSpaceDE w:val="0"/>
              <w:autoSpaceDN w:val="0"/>
              <w:adjustRightInd w:val="0"/>
              <w:rPr>
                <w:rFonts w:cs="Arial"/>
                <w:bCs/>
              </w:rPr>
            </w:pPr>
          </w:p>
        </w:tc>
      </w:tr>
      <w:tr w:rsidR="00CA1239" w:rsidRPr="00CA1239" w:rsidTr="00CA1239">
        <w:tc>
          <w:tcPr>
            <w:tcW w:w="1384" w:type="dxa"/>
          </w:tcPr>
          <w:p w:rsidR="00CA1239" w:rsidRPr="00CA1239" w:rsidRDefault="00CA1239" w:rsidP="00CA1239">
            <w:pPr>
              <w:autoSpaceDE w:val="0"/>
              <w:autoSpaceDN w:val="0"/>
              <w:adjustRightInd w:val="0"/>
              <w:rPr>
                <w:rFonts w:cs="Arial"/>
                <w:bCs/>
              </w:rPr>
            </w:pPr>
          </w:p>
        </w:tc>
        <w:tc>
          <w:tcPr>
            <w:tcW w:w="1276" w:type="dxa"/>
          </w:tcPr>
          <w:p w:rsidR="00CA1239" w:rsidRPr="00CA1239" w:rsidRDefault="00CA1239" w:rsidP="00CA1239">
            <w:pPr>
              <w:autoSpaceDE w:val="0"/>
              <w:autoSpaceDN w:val="0"/>
              <w:adjustRightInd w:val="0"/>
              <w:rPr>
                <w:rFonts w:cs="Arial"/>
                <w:bCs/>
              </w:rPr>
            </w:pPr>
          </w:p>
        </w:tc>
        <w:tc>
          <w:tcPr>
            <w:tcW w:w="3544" w:type="dxa"/>
          </w:tcPr>
          <w:p w:rsidR="00CA1239" w:rsidRPr="00CA1239" w:rsidRDefault="00CA1239" w:rsidP="00CA1239">
            <w:pPr>
              <w:autoSpaceDE w:val="0"/>
              <w:autoSpaceDN w:val="0"/>
              <w:adjustRightInd w:val="0"/>
              <w:rPr>
                <w:rFonts w:cs="Arial"/>
                <w:bCs/>
              </w:rPr>
            </w:pPr>
          </w:p>
        </w:tc>
        <w:tc>
          <w:tcPr>
            <w:tcW w:w="1417" w:type="dxa"/>
          </w:tcPr>
          <w:p w:rsidR="00CA1239" w:rsidRPr="00CA1239" w:rsidRDefault="00CA1239" w:rsidP="00CA1239">
            <w:pPr>
              <w:autoSpaceDE w:val="0"/>
              <w:autoSpaceDN w:val="0"/>
              <w:adjustRightInd w:val="0"/>
              <w:rPr>
                <w:rFonts w:cs="Arial"/>
                <w:bCs/>
              </w:rPr>
            </w:pPr>
          </w:p>
        </w:tc>
        <w:tc>
          <w:tcPr>
            <w:tcW w:w="1621" w:type="dxa"/>
          </w:tcPr>
          <w:p w:rsidR="00CA1239" w:rsidRPr="00CA1239" w:rsidRDefault="00CA1239" w:rsidP="00CA1239">
            <w:pPr>
              <w:autoSpaceDE w:val="0"/>
              <w:autoSpaceDN w:val="0"/>
              <w:adjustRightInd w:val="0"/>
              <w:rPr>
                <w:rFonts w:cs="Arial"/>
                <w:bCs/>
              </w:rPr>
            </w:pPr>
          </w:p>
        </w:tc>
      </w:tr>
      <w:tr w:rsidR="003D19A5" w:rsidRPr="00CA1239" w:rsidTr="00CA1239">
        <w:tc>
          <w:tcPr>
            <w:tcW w:w="1384" w:type="dxa"/>
          </w:tcPr>
          <w:p w:rsidR="003D19A5" w:rsidRDefault="003D19A5" w:rsidP="00CA1239">
            <w:pPr>
              <w:autoSpaceDE w:val="0"/>
              <w:autoSpaceDN w:val="0"/>
              <w:adjustRightInd w:val="0"/>
              <w:rPr>
                <w:rFonts w:cs="Arial"/>
                <w:bCs/>
              </w:rPr>
            </w:pPr>
          </w:p>
        </w:tc>
        <w:tc>
          <w:tcPr>
            <w:tcW w:w="1276" w:type="dxa"/>
          </w:tcPr>
          <w:p w:rsidR="003D19A5" w:rsidRDefault="003D19A5" w:rsidP="00CF6B62">
            <w:pPr>
              <w:autoSpaceDE w:val="0"/>
              <w:autoSpaceDN w:val="0"/>
              <w:adjustRightInd w:val="0"/>
              <w:rPr>
                <w:rFonts w:cs="Arial"/>
                <w:bCs/>
              </w:rPr>
            </w:pPr>
          </w:p>
        </w:tc>
        <w:tc>
          <w:tcPr>
            <w:tcW w:w="3544" w:type="dxa"/>
          </w:tcPr>
          <w:p w:rsidR="003D19A5" w:rsidRDefault="003D19A5" w:rsidP="00CA1239">
            <w:pPr>
              <w:autoSpaceDE w:val="0"/>
              <w:autoSpaceDN w:val="0"/>
              <w:adjustRightInd w:val="0"/>
              <w:rPr>
                <w:rFonts w:cs="Arial"/>
                <w:bCs/>
              </w:rPr>
            </w:pPr>
          </w:p>
        </w:tc>
        <w:tc>
          <w:tcPr>
            <w:tcW w:w="1417" w:type="dxa"/>
          </w:tcPr>
          <w:p w:rsidR="003D19A5" w:rsidRDefault="003D19A5" w:rsidP="00CA1239">
            <w:pPr>
              <w:autoSpaceDE w:val="0"/>
              <w:autoSpaceDN w:val="0"/>
              <w:adjustRightInd w:val="0"/>
              <w:rPr>
                <w:rFonts w:cs="Arial"/>
                <w:bCs/>
              </w:rPr>
            </w:pPr>
          </w:p>
        </w:tc>
        <w:tc>
          <w:tcPr>
            <w:tcW w:w="1621" w:type="dxa"/>
          </w:tcPr>
          <w:p w:rsidR="003D19A5" w:rsidRDefault="003D19A5" w:rsidP="00CA1239">
            <w:pPr>
              <w:autoSpaceDE w:val="0"/>
              <w:autoSpaceDN w:val="0"/>
              <w:adjustRightInd w:val="0"/>
              <w:rPr>
                <w:rFonts w:cs="Arial"/>
                <w:bCs/>
              </w:rPr>
            </w:pPr>
          </w:p>
        </w:tc>
      </w:tr>
      <w:tr w:rsidR="002D5E4B" w:rsidRPr="00CA1239" w:rsidTr="00CA1239">
        <w:tc>
          <w:tcPr>
            <w:tcW w:w="1384" w:type="dxa"/>
          </w:tcPr>
          <w:p w:rsidR="002D5E4B" w:rsidRDefault="002D5E4B" w:rsidP="00CA1239">
            <w:pPr>
              <w:autoSpaceDE w:val="0"/>
              <w:autoSpaceDN w:val="0"/>
              <w:adjustRightInd w:val="0"/>
              <w:rPr>
                <w:rFonts w:cs="Arial"/>
                <w:bCs/>
              </w:rPr>
            </w:pPr>
          </w:p>
        </w:tc>
        <w:tc>
          <w:tcPr>
            <w:tcW w:w="1276" w:type="dxa"/>
          </w:tcPr>
          <w:p w:rsidR="002D5E4B" w:rsidRDefault="002D5E4B" w:rsidP="00CF6B62">
            <w:pPr>
              <w:autoSpaceDE w:val="0"/>
              <w:autoSpaceDN w:val="0"/>
              <w:adjustRightInd w:val="0"/>
              <w:rPr>
                <w:rFonts w:cs="Arial"/>
                <w:bCs/>
              </w:rPr>
            </w:pPr>
          </w:p>
        </w:tc>
        <w:tc>
          <w:tcPr>
            <w:tcW w:w="3544" w:type="dxa"/>
          </w:tcPr>
          <w:p w:rsidR="002D5E4B" w:rsidRDefault="002D5E4B" w:rsidP="00CA1239">
            <w:pPr>
              <w:autoSpaceDE w:val="0"/>
              <w:autoSpaceDN w:val="0"/>
              <w:adjustRightInd w:val="0"/>
              <w:rPr>
                <w:rFonts w:cs="Arial"/>
                <w:bCs/>
              </w:rPr>
            </w:pPr>
          </w:p>
        </w:tc>
        <w:tc>
          <w:tcPr>
            <w:tcW w:w="1417" w:type="dxa"/>
          </w:tcPr>
          <w:p w:rsidR="002D5E4B" w:rsidRDefault="002D5E4B" w:rsidP="00CA1239">
            <w:pPr>
              <w:autoSpaceDE w:val="0"/>
              <w:autoSpaceDN w:val="0"/>
              <w:adjustRightInd w:val="0"/>
              <w:rPr>
                <w:rFonts w:cs="Arial"/>
                <w:bCs/>
              </w:rPr>
            </w:pPr>
          </w:p>
        </w:tc>
        <w:tc>
          <w:tcPr>
            <w:tcW w:w="1621" w:type="dxa"/>
          </w:tcPr>
          <w:p w:rsidR="002D5E4B" w:rsidRDefault="002D5E4B" w:rsidP="00CA1239">
            <w:pPr>
              <w:autoSpaceDE w:val="0"/>
              <w:autoSpaceDN w:val="0"/>
              <w:adjustRightInd w:val="0"/>
              <w:rPr>
                <w:rFonts w:cs="Arial"/>
                <w:bCs/>
              </w:rPr>
            </w:pPr>
          </w:p>
        </w:tc>
      </w:tr>
    </w:tbl>
    <w:p w:rsidR="00CA1239" w:rsidRPr="00CA1239" w:rsidRDefault="00CA1239" w:rsidP="00CA1239">
      <w:pPr>
        <w:autoSpaceDE w:val="0"/>
        <w:autoSpaceDN w:val="0"/>
        <w:adjustRightInd w:val="0"/>
        <w:spacing w:after="0" w:line="240" w:lineRule="auto"/>
        <w:rPr>
          <w:rFonts w:cs="Arial"/>
          <w:b/>
          <w:bCs/>
        </w:rPr>
      </w:pPr>
    </w:p>
    <w:p w:rsidR="00CA1239" w:rsidRPr="00CA1239" w:rsidRDefault="00CA1239" w:rsidP="00CA1239">
      <w:pPr>
        <w:rPr>
          <w:rFonts w:cs="Arial"/>
        </w:rPr>
      </w:pPr>
      <w:r w:rsidRPr="00CA1239">
        <w:rPr>
          <w:rFonts w:cs="Arial"/>
          <w:b/>
          <w:bCs/>
        </w:rPr>
        <w:t xml:space="preserve">Approvals: </w:t>
      </w:r>
      <w:r w:rsidRPr="00CA1239">
        <w:rPr>
          <w:rFonts w:cs="Arial"/>
        </w:rPr>
        <w:t>This document requires the following approvals.</w:t>
      </w:r>
    </w:p>
    <w:tbl>
      <w:tblPr>
        <w:tblStyle w:val="TableGrid"/>
        <w:tblW w:w="0" w:type="auto"/>
        <w:tblLook w:val="04A0"/>
      </w:tblPr>
      <w:tblGrid>
        <w:gridCol w:w="3080"/>
        <w:gridCol w:w="3081"/>
        <w:gridCol w:w="3081"/>
      </w:tblGrid>
      <w:tr w:rsidR="00CA1239" w:rsidRPr="00CA1239" w:rsidTr="00CA1239">
        <w:tc>
          <w:tcPr>
            <w:tcW w:w="3080" w:type="dxa"/>
          </w:tcPr>
          <w:p w:rsidR="00CA1239" w:rsidRPr="00CA1239" w:rsidRDefault="00CA1239" w:rsidP="00CA1239">
            <w:pPr>
              <w:autoSpaceDE w:val="0"/>
              <w:autoSpaceDN w:val="0"/>
              <w:adjustRightInd w:val="0"/>
              <w:rPr>
                <w:rFonts w:cs="Arial"/>
              </w:rPr>
            </w:pPr>
            <w:r w:rsidRPr="00CA1239">
              <w:rPr>
                <w:rFonts w:cs="Arial"/>
                <w:b/>
                <w:bCs/>
              </w:rPr>
              <w:t>Name:</w:t>
            </w:r>
          </w:p>
        </w:tc>
        <w:tc>
          <w:tcPr>
            <w:tcW w:w="3081" w:type="dxa"/>
          </w:tcPr>
          <w:p w:rsidR="00CA1239" w:rsidRPr="00CA1239" w:rsidRDefault="00CA1239" w:rsidP="00CA1239">
            <w:pPr>
              <w:autoSpaceDE w:val="0"/>
              <w:autoSpaceDN w:val="0"/>
              <w:adjustRightInd w:val="0"/>
              <w:rPr>
                <w:rFonts w:cs="Arial"/>
              </w:rPr>
            </w:pPr>
            <w:r w:rsidRPr="00CA1239">
              <w:rPr>
                <w:rFonts w:cs="Arial"/>
                <w:b/>
                <w:bCs/>
              </w:rPr>
              <w:t>Date Approved:</w:t>
            </w:r>
          </w:p>
        </w:tc>
        <w:tc>
          <w:tcPr>
            <w:tcW w:w="3081" w:type="dxa"/>
          </w:tcPr>
          <w:p w:rsidR="00CA1239" w:rsidRPr="00CA1239" w:rsidRDefault="00CA1239" w:rsidP="00CA1239">
            <w:pPr>
              <w:autoSpaceDE w:val="0"/>
              <w:autoSpaceDN w:val="0"/>
              <w:adjustRightInd w:val="0"/>
              <w:rPr>
                <w:rFonts w:cs="Arial"/>
              </w:rPr>
            </w:pPr>
            <w:r w:rsidRPr="00CA1239">
              <w:rPr>
                <w:rFonts w:cs="Arial"/>
                <w:b/>
                <w:bCs/>
              </w:rPr>
              <w:t>Version:</w:t>
            </w:r>
          </w:p>
        </w:tc>
      </w:tr>
      <w:tr w:rsidR="00CF6B62" w:rsidRPr="00CA1239" w:rsidTr="00CA1239">
        <w:tc>
          <w:tcPr>
            <w:tcW w:w="3080" w:type="dxa"/>
          </w:tcPr>
          <w:p w:rsidR="00CF6B62" w:rsidRPr="00CA1239" w:rsidRDefault="00AA1DFE" w:rsidP="009B0830">
            <w:pPr>
              <w:autoSpaceDE w:val="0"/>
              <w:autoSpaceDN w:val="0"/>
              <w:adjustRightInd w:val="0"/>
              <w:rPr>
                <w:rFonts w:cs="Arial"/>
                <w:bCs/>
              </w:rPr>
            </w:pPr>
            <w:r>
              <w:rPr>
                <w:rFonts w:cs="Arial"/>
              </w:rPr>
              <w:t>Senior Management team</w:t>
            </w:r>
          </w:p>
        </w:tc>
        <w:tc>
          <w:tcPr>
            <w:tcW w:w="3081" w:type="dxa"/>
          </w:tcPr>
          <w:p w:rsidR="00DD4BC6" w:rsidRDefault="00AA1DFE" w:rsidP="00DD4BC6">
            <w:pPr>
              <w:autoSpaceDE w:val="0"/>
              <w:autoSpaceDN w:val="0"/>
              <w:adjustRightInd w:val="0"/>
              <w:rPr>
                <w:rFonts w:cs="Arial"/>
              </w:rPr>
            </w:pPr>
            <w:r>
              <w:rPr>
                <w:rFonts w:cs="Arial"/>
              </w:rPr>
              <w:t>22/11/2018</w:t>
            </w:r>
          </w:p>
        </w:tc>
        <w:tc>
          <w:tcPr>
            <w:tcW w:w="3081" w:type="dxa"/>
          </w:tcPr>
          <w:p w:rsidR="00CF6B62" w:rsidRPr="00CA1239" w:rsidRDefault="00CF6B62" w:rsidP="00CA1239">
            <w:pPr>
              <w:autoSpaceDE w:val="0"/>
              <w:autoSpaceDN w:val="0"/>
              <w:adjustRightInd w:val="0"/>
              <w:rPr>
                <w:rFonts w:cs="Arial"/>
              </w:rPr>
            </w:pPr>
            <w:r>
              <w:rPr>
                <w:rFonts w:cs="Arial"/>
              </w:rPr>
              <w:t>0.0</w:t>
            </w:r>
            <w:r w:rsidR="0097351C">
              <w:rPr>
                <w:rFonts w:cs="Arial"/>
              </w:rPr>
              <w:t>1</w:t>
            </w:r>
          </w:p>
        </w:tc>
      </w:tr>
    </w:tbl>
    <w:p w:rsidR="002D5E4B" w:rsidRDefault="002D5E4B">
      <w:pPr>
        <w:rPr>
          <w:rFonts w:cs="Arial"/>
          <w:b/>
          <w:bCs/>
        </w:rPr>
      </w:pPr>
      <w:r>
        <w:rPr>
          <w:rFonts w:cs="Arial"/>
          <w:b/>
          <w:bCs/>
        </w:rPr>
        <w:br w:type="page"/>
      </w:r>
    </w:p>
    <w:p w:rsidR="00CA1239" w:rsidRPr="00CA1239" w:rsidRDefault="00CA1239" w:rsidP="00CA1239">
      <w:pPr>
        <w:autoSpaceDE w:val="0"/>
        <w:autoSpaceDN w:val="0"/>
        <w:adjustRightInd w:val="0"/>
        <w:spacing w:after="0" w:line="240" w:lineRule="auto"/>
        <w:rPr>
          <w:rFonts w:cs="Arial"/>
        </w:rPr>
      </w:pPr>
      <w:r w:rsidRPr="00CA1239">
        <w:rPr>
          <w:rFonts w:cs="Arial"/>
          <w:b/>
          <w:bCs/>
        </w:rPr>
        <w:lastRenderedPageBreak/>
        <w:t xml:space="preserve">Distribution: </w:t>
      </w:r>
      <w:r w:rsidRPr="00CA1239">
        <w:rPr>
          <w:rFonts w:cs="Arial"/>
        </w:rPr>
        <w:t>This document has been distributed to</w:t>
      </w:r>
    </w:p>
    <w:p w:rsidR="00CA1239" w:rsidRPr="00CA1239" w:rsidRDefault="00CA1239" w:rsidP="00CA1239">
      <w:pPr>
        <w:autoSpaceDE w:val="0"/>
        <w:autoSpaceDN w:val="0"/>
        <w:adjustRightInd w:val="0"/>
        <w:spacing w:after="0" w:line="240" w:lineRule="auto"/>
        <w:rPr>
          <w:rFonts w:cs="Arial"/>
        </w:rPr>
      </w:pPr>
    </w:p>
    <w:tbl>
      <w:tblPr>
        <w:tblStyle w:val="TableGrid"/>
        <w:tblW w:w="0" w:type="auto"/>
        <w:tblLook w:val="04A0"/>
      </w:tblPr>
      <w:tblGrid>
        <w:gridCol w:w="3080"/>
        <w:gridCol w:w="3081"/>
        <w:gridCol w:w="3081"/>
      </w:tblGrid>
      <w:tr w:rsidR="00CA1239" w:rsidRPr="00CA1239" w:rsidTr="00CA1239">
        <w:tc>
          <w:tcPr>
            <w:tcW w:w="3080" w:type="dxa"/>
          </w:tcPr>
          <w:p w:rsidR="00CA1239" w:rsidRPr="00CA1239" w:rsidRDefault="00CA1239" w:rsidP="00CA1239">
            <w:pPr>
              <w:autoSpaceDE w:val="0"/>
              <w:autoSpaceDN w:val="0"/>
              <w:adjustRightInd w:val="0"/>
              <w:rPr>
                <w:rFonts w:cs="Arial"/>
              </w:rPr>
            </w:pPr>
            <w:r w:rsidRPr="00CA1239">
              <w:rPr>
                <w:rFonts w:cs="Arial"/>
                <w:b/>
                <w:bCs/>
              </w:rPr>
              <w:t>Name:</w:t>
            </w:r>
          </w:p>
        </w:tc>
        <w:tc>
          <w:tcPr>
            <w:tcW w:w="3081" w:type="dxa"/>
          </w:tcPr>
          <w:p w:rsidR="00CA1239" w:rsidRPr="00CA1239" w:rsidRDefault="00CA1239" w:rsidP="00CA1239">
            <w:pPr>
              <w:autoSpaceDE w:val="0"/>
              <w:autoSpaceDN w:val="0"/>
              <w:adjustRightInd w:val="0"/>
              <w:rPr>
                <w:rFonts w:cs="Arial"/>
              </w:rPr>
            </w:pPr>
            <w:r w:rsidRPr="00CA1239">
              <w:rPr>
                <w:rFonts w:cs="Arial"/>
                <w:b/>
                <w:bCs/>
              </w:rPr>
              <w:t>Date of Issue:</w:t>
            </w:r>
          </w:p>
        </w:tc>
        <w:tc>
          <w:tcPr>
            <w:tcW w:w="3081" w:type="dxa"/>
          </w:tcPr>
          <w:p w:rsidR="00CA1239" w:rsidRPr="00CA1239" w:rsidRDefault="00CA1239" w:rsidP="00CA1239">
            <w:pPr>
              <w:autoSpaceDE w:val="0"/>
              <w:autoSpaceDN w:val="0"/>
              <w:adjustRightInd w:val="0"/>
              <w:rPr>
                <w:rFonts w:cs="Arial"/>
              </w:rPr>
            </w:pPr>
            <w:r w:rsidRPr="00CA1239">
              <w:rPr>
                <w:rFonts w:cs="Arial"/>
                <w:b/>
                <w:bCs/>
              </w:rPr>
              <w:t>Version:</w:t>
            </w:r>
          </w:p>
        </w:tc>
      </w:tr>
      <w:tr w:rsidR="00CA1239" w:rsidRPr="00CA1239" w:rsidTr="00CA1239">
        <w:tc>
          <w:tcPr>
            <w:tcW w:w="3080" w:type="dxa"/>
          </w:tcPr>
          <w:p w:rsidR="00CA1239" w:rsidRPr="00CA1239" w:rsidRDefault="00CA1239" w:rsidP="00CA1239">
            <w:pPr>
              <w:autoSpaceDE w:val="0"/>
              <w:autoSpaceDN w:val="0"/>
              <w:adjustRightInd w:val="0"/>
              <w:rPr>
                <w:rFonts w:cs="Arial"/>
              </w:rPr>
            </w:pPr>
            <w:r w:rsidRPr="00CA1239">
              <w:rPr>
                <w:rFonts w:cs="Arial"/>
              </w:rPr>
              <w:t xml:space="preserve">Senior </w:t>
            </w:r>
            <w:r>
              <w:rPr>
                <w:rFonts w:cs="Arial"/>
              </w:rPr>
              <w:t>shared procurement service stakeholders</w:t>
            </w:r>
          </w:p>
        </w:tc>
        <w:tc>
          <w:tcPr>
            <w:tcW w:w="3081" w:type="dxa"/>
          </w:tcPr>
          <w:p w:rsidR="00CA1239" w:rsidRPr="00CA1239" w:rsidRDefault="000425C2" w:rsidP="00CA1239">
            <w:pPr>
              <w:autoSpaceDE w:val="0"/>
              <w:autoSpaceDN w:val="0"/>
              <w:adjustRightInd w:val="0"/>
              <w:rPr>
                <w:rFonts w:cs="Arial"/>
              </w:rPr>
            </w:pPr>
            <w:r>
              <w:rPr>
                <w:rFonts w:cs="Arial"/>
              </w:rPr>
              <w:t>10</w:t>
            </w:r>
            <w:r w:rsidR="0097351C">
              <w:rPr>
                <w:rFonts w:cs="Arial"/>
              </w:rPr>
              <w:t>/08/2018</w:t>
            </w:r>
          </w:p>
        </w:tc>
        <w:tc>
          <w:tcPr>
            <w:tcW w:w="3081" w:type="dxa"/>
          </w:tcPr>
          <w:p w:rsidR="00CA1239" w:rsidRPr="00CA1239" w:rsidRDefault="00CA1239" w:rsidP="00CA1239">
            <w:pPr>
              <w:autoSpaceDE w:val="0"/>
              <w:autoSpaceDN w:val="0"/>
              <w:adjustRightInd w:val="0"/>
              <w:rPr>
                <w:rFonts w:cs="Arial"/>
              </w:rPr>
            </w:pPr>
            <w:r w:rsidRPr="00CA1239">
              <w:rPr>
                <w:rFonts w:cs="Arial"/>
              </w:rPr>
              <w:t>0.0</w:t>
            </w:r>
            <w:r>
              <w:rPr>
                <w:rFonts w:cs="Arial"/>
              </w:rPr>
              <w:t>1</w:t>
            </w:r>
          </w:p>
        </w:tc>
      </w:tr>
      <w:tr w:rsidR="007B0C33" w:rsidRPr="00CA1239" w:rsidTr="00CA1239">
        <w:tc>
          <w:tcPr>
            <w:tcW w:w="3080" w:type="dxa"/>
          </w:tcPr>
          <w:p w:rsidR="007B0C33" w:rsidRPr="00CA1239" w:rsidRDefault="007B0C33" w:rsidP="00CA1239">
            <w:pPr>
              <w:autoSpaceDE w:val="0"/>
              <w:autoSpaceDN w:val="0"/>
              <w:adjustRightInd w:val="0"/>
              <w:rPr>
                <w:rFonts w:cs="Arial"/>
              </w:rPr>
            </w:pPr>
            <w:r>
              <w:rPr>
                <w:rFonts w:cs="Arial"/>
              </w:rPr>
              <w:t>Procurement team</w:t>
            </w:r>
          </w:p>
        </w:tc>
        <w:tc>
          <w:tcPr>
            <w:tcW w:w="3081" w:type="dxa"/>
          </w:tcPr>
          <w:p w:rsidR="007B0C33" w:rsidRPr="00CA1239" w:rsidRDefault="0097351C" w:rsidP="00690FBA">
            <w:pPr>
              <w:autoSpaceDE w:val="0"/>
              <w:autoSpaceDN w:val="0"/>
              <w:adjustRightInd w:val="0"/>
              <w:rPr>
                <w:rFonts w:cs="Arial"/>
              </w:rPr>
            </w:pPr>
            <w:r>
              <w:rPr>
                <w:rFonts w:cs="Arial"/>
              </w:rPr>
              <w:t>01/08/2018</w:t>
            </w:r>
          </w:p>
        </w:tc>
        <w:tc>
          <w:tcPr>
            <w:tcW w:w="3081" w:type="dxa"/>
          </w:tcPr>
          <w:p w:rsidR="007B0C33" w:rsidRPr="00CA1239" w:rsidRDefault="007B0C33" w:rsidP="00690FBA">
            <w:pPr>
              <w:autoSpaceDE w:val="0"/>
              <w:autoSpaceDN w:val="0"/>
              <w:adjustRightInd w:val="0"/>
              <w:rPr>
                <w:rFonts w:cs="Arial"/>
              </w:rPr>
            </w:pPr>
            <w:r w:rsidRPr="00CA1239">
              <w:rPr>
                <w:rFonts w:cs="Arial"/>
              </w:rPr>
              <w:t>0.0</w:t>
            </w:r>
            <w:r>
              <w:rPr>
                <w:rFonts w:cs="Arial"/>
              </w:rPr>
              <w:t>1</w:t>
            </w:r>
          </w:p>
        </w:tc>
      </w:tr>
      <w:tr w:rsidR="007B0C33" w:rsidRPr="00CA1239" w:rsidTr="00CA1239">
        <w:tc>
          <w:tcPr>
            <w:tcW w:w="3080" w:type="dxa"/>
          </w:tcPr>
          <w:p w:rsidR="007B0C33" w:rsidRDefault="007B0C33" w:rsidP="009B0830">
            <w:pPr>
              <w:autoSpaceDE w:val="0"/>
              <w:autoSpaceDN w:val="0"/>
              <w:adjustRightInd w:val="0"/>
              <w:rPr>
                <w:rFonts w:cs="Arial"/>
              </w:rPr>
            </w:pPr>
            <w:r w:rsidRPr="00CA1239">
              <w:rPr>
                <w:rFonts w:cs="Arial"/>
              </w:rPr>
              <w:t>Director of Finance</w:t>
            </w:r>
            <w:r>
              <w:rPr>
                <w:rFonts w:cs="Arial"/>
              </w:rPr>
              <w:t xml:space="preserve"> </w:t>
            </w:r>
          </w:p>
        </w:tc>
        <w:tc>
          <w:tcPr>
            <w:tcW w:w="3081" w:type="dxa"/>
          </w:tcPr>
          <w:p w:rsidR="007B0C33" w:rsidRPr="00CA1239" w:rsidRDefault="0097351C" w:rsidP="00CA1239">
            <w:pPr>
              <w:autoSpaceDE w:val="0"/>
              <w:autoSpaceDN w:val="0"/>
              <w:adjustRightInd w:val="0"/>
              <w:rPr>
                <w:rFonts w:cs="Arial"/>
              </w:rPr>
            </w:pPr>
            <w:r>
              <w:rPr>
                <w:rFonts w:cs="Arial"/>
              </w:rPr>
              <w:t>10/08/2018</w:t>
            </w:r>
          </w:p>
        </w:tc>
        <w:tc>
          <w:tcPr>
            <w:tcW w:w="3081" w:type="dxa"/>
          </w:tcPr>
          <w:p w:rsidR="007B0C33" w:rsidRPr="00CA1239" w:rsidRDefault="00690FBA" w:rsidP="00CA1239">
            <w:pPr>
              <w:autoSpaceDE w:val="0"/>
              <w:autoSpaceDN w:val="0"/>
              <w:adjustRightInd w:val="0"/>
              <w:rPr>
                <w:rFonts w:cs="Arial"/>
              </w:rPr>
            </w:pPr>
            <w:r>
              <w:rPr>
                <w:rFonts w:cs="Arial"/>
              </w:rPr>
              <w:t>0.0</w:t>
            </w:r>
            <w:r w:rsidR="0097351C">
              <w:rPr>
                <w:rFonts w:cs="Arial"/>
              </w:rPr>
              <w:t>1</w:t>
            </w:r>
          </w:p>
        </w:tc>
      </w:tr>
      <w:tr w:rsidR="009442AE" w:rsidRPr="00CA1239" w:rsidTr="00CA1239">
        <w:tc>
          <w:tcPr>
            <w:tcW w:w="3080" w:type="dxa"/>
          </w:tcPr>
          <w:p w:rsidR="009442AE" w:rsidRDefault="009B0830" w:rsidP="0097351C">
            <w:pPr>
              <w:autoSpaceDE w:val="0"/>
              <w:autoSpaceDN w:val="0"/>
              <w:adjustRightInd w:val="0"/>
              <w:rPr>
                <w:rFonts w:cs="Arial"/>
              </w:rPr>
            </w:pPr>
            <w:r>
              <w:rPr>
                <w:rFonts w:cs="Arial"/>
              </w:rPr>
              <w:t>Audit and Risk Committee (for review)</w:t>
            </w:r>
          </w:p>
        </w:tc>
        <w:tc>
          <w:tcPr>
            <w:tcW w:w="3081" w:type="dxa"/>
          </w:tcPr>
          <w:p w:rsidR="009442AE" w:rsidRDefault="009B0830" w:rsidP="00CA1239">
            <w:pPr>
              <w:autoSpaceDE w:val="0"/>
              <w:autoSpaceDN w:val="0"/>
              <w:adjustRightInd w:val="0"/>
              <w:rPr>
                <w:rFonts w:cs="Arial"/>
              </w:rPr>
            </w:pPr>
            <w:r>
              <w:rPr>
                <w:rFonts w:cs="Arial"/>
              </w:rPr>
              <w:t>23/10/2018</w:t>
            </w:r>
          </w:p>
        </w:tc>
        <w:tc>
          <w:tcPr>
            <w:tcW w:w="3081" w:type="dxa"/>
          </w:tcPr>
          <w:p w:rsidR="009442AE" w:rsidRDefault="0097351C" w:rsidP="00CA1239">
            <w:pPr>
              <w:autoSpaceDE w:val="0"/>
              <w:autoSpaceDN w:val="0"/>
              <w:adjustRightInd w:val="0"/>
              <w:rPr>
                <w:rFonts w:cs="Arial"/>
              </w:rPr>
            </w:pPr>
            <w:r>
              <w:rPr>
                <w:rFonts w:cs="Arial"/>
              </w:rPr>
              <w:t>0.01</w:t>
            </w:r>
          </w:p>
        </w:tc>
      </w:tr>
      <w:tr w:rsidR="009B0830" w:rsidRPr="00CA1239" w:rsidTr="00CA1239">
        <w:tc>
          <w:tcPr>
            <w:tcW w:w="3080" w:type="dxa"/>
          </w:tcPr>
          <w:p w:rsidR="009B0830" w:rsidRDefault="009B0830" w:rsidP="0097351C">
            <w:pPr>
              <w:autoSpaceDE w:val="0"/>
              <w:autoSpaceDN w:val="0"/>
              <w:adjustRightInd w:val="0"/>
              <w:rPr>
                <w:rFonts w:cs="Arial"/>
              </w:rPr>
            </w:pPr>
            <w:r>
              <w:rPr>
                <w:rFonts w:cs="Arial"/>
              </w:rPr>
              <w:t xml:space="preserve">Senior Management team </w:t>
            </w:r>
          </w:p>
        </w:tc>
        <w:tc>
          <w:tcPr>
            <w:tcW w:w="3081" w:type="dxa"/>
          </w:tcPr>
          <w:p w:rsidR="009B0830" w:rsidRDefault="009B0830" w:rsidP="00CA1239">
            <w:pPr>
              <w:autoSpaceDE w:val="0"/>
              <w:autoSpaceDN w:val="0"/>
              <w:adjustRightInd w:val="0"/>
              <w:rPr>
                <w:rFonts w:cs="Arial"/>
              </w:rPr>
            </w:pPr>
            <w:r>
              <w:rPr>
                <w:rFonts w:cs="Arial"/>
              </w:rPr>
              <w:t>22/11/2018</w:t>
            </w:r>
          </w:p>
        </w:tc>
        <w:tc>
          <w:tcPr>
            <w:tcW w:w="3081" w:type="dxa"/>
          </w:tcPr>
          <w:p w:rsidR="009B0830" w:rsidRDefault="00F939BC" w:rsidP="00CA1239">
            <w:pPr>
              <w:autoSpaceDE w:val="0"/>
              <w:autoSpaceDN w:val="0"/>
              <w:adjustRightInd w:val="0"/>
              <w:rPr>
                <w:rFonts w:cs="Arial"/>
              </w:rPr>
            </w:pPr>
            <w:r>
              <w:rPr>
                <w:rFonts w:cs="Arial"/>
              </w:rPr>
              <w:t>0.01</w:t>
            </w:r>
          </w:p>
        </w:tc>
      </w:tr>
    </w:tbl>
    <w:p w:rsidR="00CA1239" w:rsidRDefault="00CA1239" w:rsidP="00CA1239">
      <w:pPr>
        <w:autoSpaceDE w:val="0"/>
        <w:autoSpaceDN w:val="0"/>
        <w:adjustRightInd w:val="0"/>
        <w:spacing w:after="0" w:line="240" w:lineRule="auto"/>
        <w:rPr>
          <w:rFonts w:cs="Arial"/>
          <w:b/>
          <w:bCs/>
        </w:rPr>
      </w:pPr>
    </w:p>
    <w:p w:rsidR="00CA1239" w:rsidRPr="00CA1239" w:rsidRDefault="00CA1239" w:rsidP="00CA1239">
      <w:pPr>
        <w:autoSpaceDE w:val="0"/>
        <w:autoSpaceDN w:val="0"/>
        <w:adjustRightInd w:val="0"/>
        <w:spacing w:after="0" w:line="240" w:lineRule="auto"/>
        <w:rPr>
          <w:rFonts w:cs="Arial"/>
          <w:b/>
          <w:bCs/>
        </w:rPr>
      </w:pPr>
      <w:r w:rsidRPr="00CA1239">
        <w:rPr>
          <w:rFonts w:cs="Arial"/>
          <w:b/>
          <w:bCs/>
        </w:rPr>
        <w:t>Linked Documentation:</w:t>
      </w:r>
    </w:p>
    <w:p w:rsidR="00CA1239" w:rsidRPr="00CA1239" w:rsidRDefault="00CA1239" w:rsidP="00CA1239">
      <w:pPr>
        <w:autoSpaceDE w:val="0"/>
        <w:autoSpaceDN w:val="0"/>
        <w:adjustRightInd w:val="0"/>
        <w:spacing w:after="0" w:line="240" w:lineRule="auto"/>
        <w:rPr>
          <w:rFonts w:cs="Arial"/>
          <w:b/>
          <w:bCs/>
        </w:rPr>
      </w:pPr>
    </w:p>
    <w:tbl>
      <w:tblPr>
        <w:tblStyle w:val="TableGrid"/>
        <w:tblW w:w="0" w:type="auto"/>
        <w:tblLook w:val="04A0"/>
      </w:tblPr>
      <w:tblGrid>
        <w:gridCol w:w="9242"/>
      </w:tblGrid>
      <w:tr w:rsidR="00CA1239" w:rsidRPr="00CA1239" w:rsidTr="00CA1239">
        <w:tc>
          <w:tcPr>
            <w:tcW w:w="9242" w:type="dxa"/>
          </w:tcPr>
          <w:p w:rsidR="00CA1239" w:rsidRPr="00CA1239" w:rsidRDefault="00CA1239" w:rsidP="00CA1239">
            <w:pPr>
              <w:autoSpaceDE w:val="0"/>
              <w:autoSpaceDN w:val="0"/>
              <w:adjustRightInd w:val="0"/>
              <w:rPr>
                <w:rFonts w:cs="Arial"/>
                <w:b/>
                <w:bCs/>
              </w:rPr>
            </w:pPr>
            <w:r w:rsidRPr="00CA1239">
              <w:rPr>
                <w:rFonts w:cs="Arial"/>
                <w:b/>
                <w:bCs/>
              </w:rPr>
              <w:t>Document Title:</w:t>
            </w:r>
          </w:p>
        </w:tc>
      </w:tr>
      <w:tr w:rsidR="00CA1239" w:rsidRPr="00CA1239" w:rsidTr="00CA1239">
        <w:tc>
          <w:tcPr>
            <w:tcW w:w="9242" w:type="dxa"/>
          </w:tcPr>
          <w:p w:rsidR="00CA1239" w:rsidRPr="00CA1239" w:rsidRDefault="00CA1239" w:rsidP="00CA1239">
            <w:pPr>
              <w:autoSpaceDE w:val="0"/>
              <w:autoSpaceDN w:val="0"/>
              <w:adjustRightInd w:val="0"/>
              <w:rPr>
                <w:rFonts w:cs="Arial"/>
                <w:bCs/>
              </w:rPr>
            </w:pPr>
          </w:p>
          <w:p w:rsidR="00CA1239" w:rsidRPr="00CA1239" w:rsidRDefault="00CA1239" w:rsidP="00CA1239">
            <w:pPr>
              <w:autoSpaceDE w:val="0"/>
              <w:autoSpaceDN w:val="0"/>
              <w:adjustRightInd w:val="0"/>
              <w:rPr>
                <w:rFonts w:cs="Arial"/>
                <w:bCs/>
              </w:rPr>
            </w:pPr>
            <w:r w:rsidRPr="00CA1239">
              <w:rPr>
                <w:rFonts w:cs="Arial"/>
                <w:bCs/>
              </w:rPr>
              <w:t>None</w:t>
            </w:r>
          </w:p>
          <w:p w:rsidR="00CA1239" w:rsidRPr="00CA1239" w:rsidRDefault="00CA1239" w:rsidP="00CA1239">
            <w:pPr>
              <w:autoSpaceDE w:val="0"/>
              <w:autoSpaceDN w:val="0"/>
              <w:adjustRightInd w:val="0"/>
              <w:rPr>
                <w:rFonts w:cs="Arial"/>
                <w:bCs/>
              </w:rPr>
            </w:pPr>
          </w:p>
        </w:tc>
      </w:tr>
    </w:tbl>
    <w:p w:rsidR="00CA1239" w:rsidRPr="00CA1239" w:rsidRDefault="00CA1239" w:rsidP="00CA1239">
      <w:pPr>
        <w:autoSpaceDE w:val="0"/>
        <w:autoSpaceDN w:val="0"/>
        <w:adjustRightInd w:val="0"/>
        <w:spacing w:after="0" w:line="240" w:lineRule="auto"/>
        <w:rPr>
          <w:rFonts w:cs="Arial"/>
          <w:b/>
          <w:bCs/>
        </w:rPr>
      </w:pPr>
    </w:p>
    <w:p w:rsidR="00CA1239" w:rsidRPr="00CA1239" w:rsidRDefault="00CA1239" w:rsidP="00CA1239">
      <w:pPr>
        <w:spacing w:after="0"/>
        <w:rPr>
          <w:rFonts w:cs="Arial"/>
          <w:b/>
          <w:bCs/>
        </w:rPr>
      </w:pPr>
      <w:r w:rsidRPr="00CA1239">
        <w:rPr>
          <w:rFonts w:cs="Arial"/>
          <w:b/>
          <w:bCs/>
        </w:rPr>
        <w:t>Equality and Diversity Impact Assessment</w:t>
      </w:r>
    </w:p>
    <w:p w:rsidR="00CA1239" w:rsidRPr="00CA1239" w:rsidRDefault="00CA1239" w:rsidP="00CA1239">
      <w:pPr>
        <w:spacing w:after="0"/>
        <w:rPr>
          <w:rFonts w:cs="Arial"/>
          <w:b/>
          <w:bCs/>
        </w:rPr>
      </w:pPr>
    </w:p>
    <w:tbl>
      <w:tblPr>
        <w:tblStyle w:val="TableGrid"/>
        <w:tblW w:w="0" w:type="auto"/>
        <w:tblLook w:val="04A0"/>
      </w:tblPr>
      <w:tblGrid>
        <w:gridCol w:w="9242"/>
      </w:tblGrid>
      <w:tr w:rsidR="00CA1239" w:rsidRPr="00CA1239" w:rsidTr="00CA1239">
        <w:tc>
          <w:tcPr>
            <w:tcW w:w="9242" w:type="dxa"/>
          </w:tcPr>
          <w:p w:rsidR="00CA1239" w:rsidRPr="00CA1239" w:rsidRDefault="00CA1239" w:rsidP="00CA1239">
            <w:pPr>
              <w:rPr>
                <w:rFonts w:cs="Arial"/>
              </w:rPr>
            </w:pPr>
          </w:p>
          <w:p w:rsidR="00CA1239" w:rsidRPr="000425C2" w:rsidRDefault="00DD4BC6" w:rsidP="00CA1239">
            <w:pPr>
              <w:spacing w:after="200" w:line="276" w:lineRule="auto"/>
              <w:rPr>
                <w:rFonts w:cs="Arial"/>
              </w:rPr>
            </w:pPr>
            <w:r w:rsidRPr="00DD4BC6">
              <w:rPr>
                <w:rFonts w:cs="Arial"/>
              </w:rPr>
              <w:t xml:space="preserve">Attached </w:t>
            </w:r>
          </w:p>
          <w:p w:rsidR="00CA1239" w:rsidRPr="00CA1239" w:rsidRDefault="00CA1239" w:rsidP="00CA1239">
            <w:pPr>
              <w:rPr>
                <w:rFonts w:cs="Arial"/>
              </w:rPr>
            </w:pPr>
          </w:p>
        </w:tc>
      </w:tr>
    </w:tbl>
    <w:p w:rsidR="00CA1239" w:rsidRDefault="00CA1239" w:rsidP="00CA1239">
      <w:pPr>
        <w:spacing w:after="0"/>
      </w:pPr>
    </w:p>
    <w:p w:rsidR="00CA1239" w:rsidRDefault="00CA1239" w:rsidP="00CA1239">
      <w:pPr>
        <w:rPr>
          <w:rFonts w:ascii="Arial" w:hAnsi="Arial" w:cs="Arial"/>
          <w:b/>
          <w:sz w:val="28"/>
          <w:szCs w:val="28"/>
        </w:rPr>
      </w:pPr>
      <w:r>
        <w:rPr>
          <w:rFonts w:ascii="Arial" w:hAnsi="Arial" w:cs="Arial"/>
          <w:b/>
          <w:sz w:val="28"/>
          <w:szCs w:val="28"/>
        </w:rPr>
        <w:br w:type="page"/>
      </w:r>
    </w:p>
    <w:p w:rsidR="00304565" w:rsidRPr="00CF6B62" w:rsidRDefault="00304565">
      <w:pPr>
        <w:rPr>
          <w:b/>
          <w:sz w:val="28"/>
          <w:szCs w:val="28"/>
        </w:rPr>
      </w:pPr>
      <w:r w:rsidRPr="00CF6B62">
        <w:rPr>
          <w:b/>
          <w:sz w:val="28"/>
          <w:szCs w:val="28"/>
        </w:rPr>
        <w:lastRenderedPageBreak/>
        <w:t>Contents</w:t>
      </w:r>
    </w:p>
    <w:p w:rsidR="00304565" w:rsidRDefault="00146F28">
      <w:r>
        <w:t xml:space="preserve">1. </w:t>
      </w:r>
      <w:r>
        <w:tab/>
      </w:r>
      <w:r w:rsidR="00304565">
        <w:t>Introduction</w:t>
      </w:r>
    </w:p>
    <w:p w:rsidR="00304565" w:rsidRDefault="00146F28">
      <w:r>
        <w:t>2.</w:t>
      </w:r>
      <w:r>
        <w:tab/>
      </w:r>
      <w:r w:rsidR="00206015">
        <w:t>The vision, mission and r</w:t>
      </w:r>
      <w:r w:rsidR="0097351C">
        <w:t xml:space="preserve">ole of the </w:t>
      </w:r>
      <w:r w:rsidR="00304565">
        <w:t xml:space="preserve">Procurement Service </w:t>
      </w:r>
    </w:p>
    <w:p w:rsidR="00304565" w:rsidRDefault="00146F28">
      <w:r>
        <w:t>3.</w:t>
      </w:r>
      <w:r>
        <w:tab/>
      </w:r>
      <w:r w:rsidR="00304565">
        <w:t>Contracting activity</w:t>
      </w:r>
    </w:p>
    <w:p w:rsidR="00304565" w:rsidRDefault="00146F28">
      <w:r>
        <w:t>4.</w:t>
      </w:r>
      <w:r>
        <w:tab/>
      </w:r>
      <w:r w:rsidR="00304565">
        <w:t>Key priorities</w:t>
      </w:r>
    </w:p>
    <w:p w:rsidR="00304565" w:rsidRDefault="00146F28">
      <w:r>
        <w:t>5.</w:t>
      </w:r>
      <w:r>
        <w:tab/>
      </w:r>
      <w:r w:rsidR="00304565">
        <w:t>Policies</w:t>
      </w:r>
    </w:p>
    <w:p w:rsidR="00304565" w:rsidRDefault="00146F28">
      <w:r>
        <w:t>6.</w:t>
      </w:r>
      <w:r>
        <w:tab/>
      </w:r>
      <w:r w:rsidR="00304565">
        <w:t>Annual Procurement Report</w:t>
      </w:r>
    </w:p>
    <w:p w:rsidR="00304565" w:rsidRDefault="00146F28">
      <w:r>
        <w:t>7.</w:t>
      </w:r>
      <w:r>
        <w:tab/>
      </w:r>
      <w:r w:rsidR="00304565">
        <w:t>Strategy ownership and contact details</w:t>
      </w:r>
    </w:p>
    <w:p w:rsidR="00304565" w:rsidRDefault="00304565"/>
    <w:p w:rsidR="00304565" w:rsidRDefault="00304565">
      <w:r>
        <w:br w:type="page"/>
      </w:r>
    </w:p>
    <w:p w:rsidR="00304565" w:rsidRPr="00CF6B62" w:rsidRDefault="009B178B">
      <w:pPr>
        <w:rPr>
          <w:b/>
          <w:sz w:val="28"/>
          <w:szCs w:val="28"/>
        </w:rPr>
      </w:pPr>
      <w:r w:rsidRPr="00CF6B62">
        <w:rPr>
          <w:b/>
          <w:sz w:val="28"/>
          <w:szCs w:val="28"/>
        </w:rPr>
        <w:lastRenderedPageBreak/>
        <w:t>1.</w:t>
      </w:r>
      <w:r w:rsidRPr="00CF6B62">
        <w:rPr>
          <w:b/>
          <w:sz w:val="28"/>
          <w:szCs w:val="28"/>
        </w:rPr>
        <w:tab/>
      </w:r>
      <w:r w:rsidR="00304565" w:rsidRPr="00CF6B62">
        <w:rPr>
          <w:b/>
          <w:sz w:val="28"/>
          <w:szCs w:val="28"/>
        </w:rPr>
        <w:t>Introduction</w:t>
      </w:r>
    </w:p>
    <w:p w:rsidR="00CE2F0F" w:rsidRDefault="00304565">
      <w:r>
        <w:t>T</w:t>
      </w:r>
      <w:r w:rsidR="00E35F5F">
        <w:t>his document sets out the</w:t>
      </w:r>
      <w:r>
        <w:t xml:space="preserve"> Procurement Service’s Procurement Strategy to support the </w:t>
      </w:r>
      <w:r w:rsidR="00E35F5F">
        <w:t>Golden Jubilee Foundation including The Golden Jubilee National Hospital, The Golden Jubilee Research Institute, The Golden Jubilee Innovation Centre and the Golden Jubilee Conference Hotel</w:t>
      </w:r>
      <w:r>
        <w:t xml:space="preserve"> to deliver their corporate objectives in line with public procurement legislation</w:t>
      </w:r>
      <w:r w:rsidR="009B178B">
        <w:t>, the Scottish Model of Procurement</w:t>
      </w:r>
      <w:r>
        <w:t xml:space="preserve"> and Scottish Government policy.</w:t>
      </w:r>
      <w:r w:rsidR="00C444DF">
        <w:t xml:space="preserve"> </w:t>
      </w:r>
      <w:r w:rsidR="00CE2F0F">
        <w:t>The p</w:t>
      </w:r>
      <w:r w:rsidR="00C444DF">
        <w:t xml:space="preserve">ublic procurement </w:t>
      </w:r>
      <w:r w:rsidR="00CE2F0F">
        <w:t>landscape in Scotland has continued to develop since the previo</w:t>
      </w:r>
      <w:r w:rsidR="004D68E2">
        <w:t>us strategy was produced in November 2016</w:t>
      </w:r>
      <w:r w:rsidR="00CE2F0F">
        <w:t>, with both policy development and legislative change.</w:t>
      </w:r>
      <w:r w:rsidR="00395870">
        <w:t xml:space="preserve"> It is now a legal requirement for Scottish public sector bodies to publish a Procurement Strategy and review it annually.</w:t>
      </w:r>
      <w:r w:rsidR="009B0830">
        <w:t xml:space="preserve"> </w:t>
      </w:r>
    </w:p>
    <w:p w:rsidR="00146F28" w:rsidRDefault="00146F28">
      <w:r>
        <w:t xml:space="preserve">The Scottish Government’s policy drivers for public procurement are predominantly centred </w:t>
      </w:r>
      <w:proofErr w:type="gramStart"/>
      <w:r>
        <w:t>around</w:t>
      </w:r>
      <w:proofErr w:type="gramEnd"/>
      <w:r w:rsidR="00206015">
        <w:t xml:space="preserve"> </w:t>
      </w:r>
      <w:r w:rsidR="00F07BE0" w:rsidRPr="00F07BE0">
        <w:rPr>
          <w:b/>
        </w:rPr>
        <w:t>sustainability, economic development and tackling inequality</w:t>
      </w:r>
      <w:r>
        <w:t>. The key priorities of the Procurement Service</w:t>
      </w:r>
      <w:r w:rsidR="00CE2F0F">
        <w:t xml:space="preserve">’s Procurement Strategy </w:t>
      </w:r>
      <w:r>
        <w:t>are outlined in Section 4</w:t>
      </w:r>
      <w:r w:rsidR="00CE2F0F">
        <w:t xml:space="preserve"> of this document</w:t>
      </w:r>
      <w:r>
        <w:t>.</w:t>
      </w:r>
      <w:r w:rsidR="00690FBA">
        <w:t xml:space="preserve"> </w:t>
      </w:r>
      <w:r w:rsidR="009442AE">
        <w:t>It is not necessary to</w:t>
      </w:r>
      <w:r w:rsidR="00690FBA">
        <w:t xml:space="preserve"> detail the legislative and policy background that governs public sector procurement</w:t>
      </w:r>
      <w:r w:rsidR="003D19A5">
        <w:t xml:space="preserve"> in this document</w:t>
      </w:r>
      <w:r w:rsidR="00690FBA">
        <w:t>, but</w:t>
      </w:r>
      <w:r w:rsidR="004D68E2">
        <w:t xml:space="preserve"> we will ensure that the </w:t>
      </w:r>
      <w:r w:rsidR="00690FBA">
        <w:t xml:space="preserve">Procurement Service complies with this </w:t>
      </w:r>
      <w:r w:rsidR="003D19A5">
        <w:t xml:space="preserve">the legislative </w:t>
      </w:r>
      <w:r w:rsidR="00690FBA">
        <w:t>frame</w:t>
      </w:r>
      <w:r w:rsidR="004D68E2">
        <w:t>work</w:t>
      </w:r>
      <w:r w:rsidR="003D19A5">
        <w:t xml:space="preserve"> and policy drivers, </w:t>
      </w:r>
      <w:r w:rsidR="00690FBA">
        <w:t>and developments will be addressed through the annual work</w:t>
      </w:r>
      <w:r w:rsidR="004D68E2">
        <w:t xml:space="preserve"> </w:t>
      </w:r>
      <w:r w:rsidR="00690FBA">
        <w:t xml:space="preserve">plans. Current issues include compliance with </w:t>
      </w:r>
      <w:r w:rsidR="00FB2F8E">
        <w:t>the General Data Protection Regulations (</w:t>
      </w:r>
      <w:r w:rsidR="00690FBA">
        <w:t>GDPR</w:t>
      </w:r>
      <w:r w:rsidR="00FB2F8E">
        <w:t>)</w:t>
      </w:r>
      <w:r w:rsidR="00690FBA">
        <w:t xml:space="preserve">, </w:t>
      </w:r>
      <w:r w:rsidR="00FB2F8E">
        <w:t xml:space="preserve">and ensuring measures to prevent </w:t>
      </w:r>
      <w:r w:rsidR="00690FBA">
        <w:t>fraud and bribery</w:t>
      </w:r>
      <w:r w:rsidR="004D68E2">
        <w:t xml:space="preserve"> are robust</w:t>
      </w:r>
      <w:r w:rsidR="00FB2F8E">
        <w:t>.</w:t>
      </w:r>
    </w:p>
    <w:p w:rsidR="00146F28" w:rsidRDefault="00146F28">
      <w:r>
        <w:t>This Strategy has been developed in consultation wi</w:t>
      </w:r>
      <w:r w:rsidR="004D68E2">
        <w:t xml:space="preserve">th stakeholders within the Golden Jubilee Foundation </w:t>
      </w:r>
      <w:r>
        <w:t xml:space="preserve">and will be signed off by the </w:t>
      </w:r>
      <w:r w:rsidR="00BF5911">
        <w:t xml:space="preserve">Senior Management team, the Audit and Risk Committee and the finally the </w:t>
      </w:r>
      <w:r w:rsidR="00DF65BD">
        <w:t>Board.</w:t>
      </w:r>
      <w:r>
        <w:t xml:space="preserve"> </w:t>
      </w:r>
      <w:r w:rsidR="00C444DF">
        <w:t>It is based on the template and guidance for procurement strategies produced by the Scottish Government</w:t>
      </w:r>
      <w:r w:rsidR="004D68E2">
        <w:t xml:space="preserve"> (SG)</w:t>
      </w:r>
      <w:r w:rsidR="00C444DF">
        <w:t>. Compliance with legislation pertaining to public procurement is the minimum standard</w:t>
      </w:r>
      <w:r w:rsidR="00CE2F0F">
        <w:t>. Th</w:t>
      </w:r>
      <w:r w:rsidR="004D68E2">
        <w:t xml:space="preserve">e </w:t>
      </w:r>
      <w:r w:rsidR="00CE2F0F">
        <w:t xml:space="preserve">Procurement Service will aim to function beyond that level and </w:t>
      </w:r>
      <w:r w:rsidR="003D19A5">
        <w:t>align</w:t>
      </w:r>
      <w:r w:rsidR="00CE2F0F">
        <w:t xml:space="preserve"> with best practice. </w:t>
      </w:r>
      <w:r w:rsidR="00C444DF">
        <w:t xml:space="preserve"> </w:t>
      </w:r>
    </w:p>
    <w:p w:rsidR="00304565" w:rsidRPr="00CF6B62" w:rsidRDefault="009B178B">
      <w:pPr>
        <w:rPr>
          <w:b/>
          <w:sz w:val="28"/>
          <w:szCs w:val="28"/>
        </w:rPr>
      </w:pPr>
      <w:r w:rsidRPr="00CF6B62">
        <w:rPr>
          <w:b/>
          <w:sz w:val="28"/>
          <w:szCs w:val="28"/>
        </w:rPr>
        <w:t>2.</w:t>
      </w:r>
      <w:r w:rsidRPr="00CF6B62">
        <w:rPr>
          <w:b/>
          <w:sz w:val="28"/>
          <w:szCs w:val="28"/>
        </w:rPr>
        <w:tab/>
      </w:r>
      <w:r w:rsidR="00316AA1" w:rsidRPr="00CF6B62">
        <w:rPr>
          <w:b/>
          <w:sz w:val="28"/>
          <w:szCs w:val="28"/>
        </w:rPr>
        <w:t>Our vision, mission and r</w:t>
      </w:r>
      <w:r w:rsidRPr="00CF6B62">
        <w:rPr>
          <w:b/>
          <w:sz w:val="28"/>
          <w:szCs w:val="28"/>
        </w:rPr>
        <w:t>ole of the Shared Procurement Service</w:t>
      </w:r>
    </w:p>
    <w:p w:rsidR="00316AA1" w:rsidRPr="00FD17D1" w:rsidRDefault="00316AA1">
      <w:pPr>
        <w:rPr>
          <w:b/>
        </w:rPr>
      </w:pPr>
      <w:r w:rsidRPr="00FD17D1">
        <w:rPr>
          <w:b/>
          <w:u w:val="single"/>
        </w:rPr>
        <w:t>Vision</w:t>
      </w:r>
      <w:r w:rsidRPr="00FD17D1">
        <w:rPr>
          <w:b/>
        </w:rPr>
        <w:t xml:space="preserve"> </w:t>
      </w:r>
    </w:p>
    <w:p w:rsidR="00316AA1" w:rsidRDefault="00316AA1">
      <w:r>
        <w:t xml:space="preserve">We aspire to </w:t>
      </w:r>
      <w:r w:rsidR="006F3004">
        <w:t xml:space="preserve">be a high performing team that delivers </w:t>
      </w:r>
      <w:r w:rsidR="008B0DEE">
        <w:t>sustainable procurement</w:t>
      </w:r>
      <w:r w:rsidR="006F3004">
        <w:t xml:space="preserve"> as well as financial </w:t>
      </w:r>
      <w:r w:rsidR="00F81CF7">
        <w:t>efficiencies</w:t>
      </w:r>
      <w:r w:rsidR="00E1132F">
        <w:t xml:space="preserve"> to each of The Golden Jubilee National Hospital, The Golden Jubilee Research Institute, The Golden Jubilee Innovation Centre, </w:t>
      </w:r>
      <w:proofErr w:type="gramStart"/>
      <w:r w:rsidR="00E1132F">
        <w:t>The</w:t>
      </w:r>
      <w:proofErr w:type="gramEnd"/>
      <w:r w:rsidR="00E1132F">
        <w:t xml:space="preserve"> Golden Jubilee Conference Hotel.</w:t>
      </w:r>
    </w:p>
    <w:p w:rsidR="00316AA1" w:rsidRPr="00FD17D1" w:rsidRDefault="00316AA1">
      <w:pPr>
        <w:rPr>
          <w:b/>
          <w:u w:val="single"/>
        </w:rPr>
      </w:pPr>
      <w:r w:rsidRPr="00FD17D1">
        <w:rPr>
          <w:b/>
          <w:u w:val="single"/>
        </w:rPr>
        <w:t xml:space="preserve">Mission </w:t>
      </w:r>
    </w:p>
    <w:p w:rsidR="00316AA1" w:rsidRDefault="00E23780">
      <w:r>
        <w:t>To</w:t>
      </w:r>
      <w:r w:rsidR="00316AA1">
        <w:t xml:space="preserve"> </w:t>
      </w:r>
      <w:r w:rsidR="006F3004">
        <w:t>provide a cost effective and legally compliant procurement service</w:t>
      </w:r>
      <w:r w:rsidR="00CE2F0F">
        <w:t xml:space="preserve"> that meets the needs and expectations of</w:t>
      </w:r>
      <w:r w:rsidR="004D68E2">
        <w:t xml:space="preserve"> all </w:t>
      </w:r>
      <w:r w:rsidR="006F3004">
        <w:t>service partners</w:t>
      </w:r>
      <w:r w:rsidR="00F81CF7">
        <w:t xml:space="preserve"> </w:t>
      </w:r>
      <w:r w:rsidR="004D68E2">
        <w:t xml:space="preserve">within the Golden Jubilee Foundation </w:t>
      </w:r>
      <w:r w:rsidR="00F81CF7">
        <w:t>in support of their corporate objectives</w:t>
      </w:r>
      <w:r w:rsidR="006F3004">
        <w:t>.</w:t>
      </w:r>
    </w:p>
    <w:p w:rsidR="006F3004" w:rsidRPr="00FD17D1" w:rsidRDefault="006F3004">
      <w:pPr>
        <w:rPr>
          <w:b/>
          <w:u w:val="single"/>
        </w:rPr>
      </w:pPr>
      <w:r w:rsidRPr="00FD17D1">
        <w:rPr>
          <w:b/>
          <w:u w:val="single"/>
        </w:rPr>
        <w:t>Role</w:t>
      </w:r>
    </w:p>
    <w:p w:rsidR="009B178B" w:rsidRDefault="009B178B">
      <w:r>
        <w:t>Our work focuses on:</w:t>
      </w:r>
    </w:p>
    <w:p w:rsidR="009B178B" w:rsidRDefault="009B178B" w:rsidP="009B178B">
      <w:pPr>
        <w:pStyle w:val="ListParagraph"/>
        <w:numPr>
          <w:ilvl w:val="0"/>
          <w:numId w:val="2"/>
        </w:numPr>
      </w:pPr>
      <w:r>
        <w:lastRenderedPageBreak/>
        <w:t xml:space="preserve">Delivering savings, </w:t>
      </w:r>
      <w:r w:rsidR="006F3004">
        <w:t>efficiencies and s</w:t>
      </w:r>
      <w:r w:rsidR="008B0DEE">
        <w:t>ustainable procurement</w:t>
      </w:r>
      <w:r>
        <w:t xml:space="preserve"> through </w:t>
      </w:r>
      <w:r w:rsidR="008B0DEE">
        <w:t>contracting</w:t>
      </w:r>
      <w:r>
        <w:t xml:space="preserve"> </w:t>
      </w:r>
      <w:r w:rsidR="006F3004">
        <w:t>activity</w:t>
      </w:r>
      <w:r>
        <w:t>. This includes collaborative working where appropriate.</w:t>
      </w:r>
    </w:p>
    <w:p w:rsidR="009B178B" w:rsidRDefault="009B178B" w:rsidP="009B178B">
      <w:pPr>
        <w:pStyle w:val="ListParagraph"/>
        <w:numPr>
          <w:ilvl w:val="0"/>
          <w:numId w:val="2"/>
        </w:numPr>
      </w:pPr>
      <w:r>
        <w:t>Providing advice on public procurement to s</w:t>
      </w:r>
      <w:r w:rsidR="004D68E2">
        <w:t>takeholders throughout the Golden Jubilee Foundation</w:t>
      </w:r>
      <w:r>
        <w:t>.</w:t>
      </w:r>
    </w:p>
    <w:p w:rsidR="00515CBA" w:rsidRDefault="009B178B" w:rsidP="006F3004">
      <w:pPr>
        <w:pStyle w:val="ListParagraph"/>
        <w:numPr>
          <w:ilvl w:val="0"/>
          <w:numId w:val="2"/>
        </w:numPr>
      </w:pPr>
      <w:r>
        <w:t xml:space="preserve">Developing the skills and expertise of our team to deliver </w:t>
      </w:r>
      <w:r w:rsidR="006F3004">
        <w:t>a</w:t>
      </w:r>
      <w:r w:rsidR="00F81CF7">
        <w:t xml:space="preserve"> high quality</w:t>
      </w:r>
      <w:r w:rsidR="006F3004">
        <w:t xml:space="preserve"> </w:t>
      </w:r>
      <w:r>
        <w:t>service to our stakeholders</w:t>
      </w:r>
      <w:r w:rsidR="002E38DA">
        <w:t>.</w:t>
      </w:r>
    </w:p>
    <w:p w:rsidR="006F3004" w:rsidRDefault="006F3004" w:rsidP="00515CBA">
      <w:pPr>
        <w:ind w:left="360"/>
      </w:pPr>
      <w:r>
        <w:t>N</w:t>
      </w:r>
      <w:r w:rsidR="008B0DEE">
        <w:t xml:space="preserve">ote: Sustainable procurement is intended to derive </w:t>
      </w:r>
      <w:r w:rsidR="00E23780">
        <w:t xml:space="preserve">social, environmental and economic </w:t>
      </w:r>
      <w:r w:rsidR="008B0DEE">
        <w:t>benefit</w:t>
      </w:r>
      <w:r w:rsidR="00E23780">
        <w:t>s</w:t>
      </w:r>
      <w:r w:rsidR="008B0DEE">
        <w:t xml:space="preserve"> from public expenditure</w:t>
      </w:r>
      <w:r w:rsidR="00E23780">
        <w:t xml:space="preserve"> in addition to</w:t>
      </w:r>
      <w:r w:rsidR="008B0DEE">
        <w:t xml:space="preserve"> the purchase of the goods or s</w:t>
      </w:r>
      <w:r w:rsidR="00E23780">
        <w:t xml:space="preserve">ervices concerned. </w:t>
      </w:r>
    </w:p>
    <w:p w:rsidR="009B178B" w:rsidRPr="00CF6B62" w:rsidRDefault="002E38DA">
      <w:pPr>
        <w:rPr>
          <w:b/>
          <w:sz w:val="28"/>
          <w:szCs w:val="28"/>
        </w:rPr>
      </w:pPr>
      <w:r w:rsidRPr="00CF6B62">
        <w:rPr>
          <w:b/>
          <w:sz w:val="28"/>
          <w:szCs w:val="28"/>
        </w:rPr>
        <w:t>3.</w:t>
      </w:r>
      <w:r w:rsidRPr="00CF6B62">
        <w:rPr>
          <w:b/>
          <w:sz w:val="28"/>
          <w:szCs w:val="28"/>
        </w:rPr>
        <w:tab/>
        <w:t>Contracting activity</w:t>
      </w:r>
    </w:p>
    <w:p w:rsidR="002E38DA" w:rsidRDefault="002E38DA">
      <w:r>
        <w:t>Our approach to</w:t>
      </w:r>
      <w:r w:rsidR="003D19A5">
        <w:t xml:space="preserve"> buying goods, </w:t>
      </w:r>
      <w:r>
        <w:t>services and works reflects the Scottish Model of Procurement</w:t>
      </w:r>
      <w:r w:rsidR="00F81CF7">
        <w:t>,</w:t>
      </w:r>
      <w:r>
        <w:t xml:space="preserve"> in order to deliver an appropriate service that supports the objecti</w:t>
      </w:r>
      <w:r w:rsidR="004D68E2">
        <w:t>ves of the Golden Jubilee Foundation</w:t>
      </w:r>
      <w:r>
        <w:t>.</w:t>
      </w:r>
      <w:r w:rsidR="0041532A">
        <w:t xml:space="preserve"> We aim to achieve value for money by working closely with our stakeholders to understand their requirements</w:t>
      </w:r>
      <w:r w:rsidR="00690FBA">
        <w:t>,</w:t>
      </w:r>
      <w:r w:rsidR="0041532A">
        <w:t xml:space="preserve"> and </w:t>
      </w:r>
      <w:r w:rsidR="00690FBA">
        <w:t xml:space="preserve">with suppliers to understand </w:t>
      </w:r>
      <w:r w:rsidR="0041532A">
        <w:t xml:space="preserve">the relevant market sectors. </w:t>
      </w:r>
      <w:r w:rsidR="004E06BC">
        <w:t xml:space="preserve">Procurement processes are based on a </w:t>
      </w:r>
      <w:r w:rsidR="0041532A">
        <w:t xml:space="preserve">fair, open and transparent competition which is proportionate </w:t>
      </w:r>
      <w:r w:rsidR="00690FBA">
        <w:t xml:space="preserve">to the scale and purpose of the contract, </w:t>
      </w:r>
      <w:r w:rsidR="0041532A">
        <w:t xml:space="preserve">and meets our legal obligations. </w:t>
      </w:r>
      <w:r w:rsidR="004E06BC">
        <w:t xml:space="preserve">Contracts </w:t>
      </w:r>
      <w:r w:rsidR="0041532A">
        <w:t xml:space="preserve">are awarded </w:t>
      </w:r>
      <w:r w:rsidR="004E06BC">
        <w:t>using a mix of criteria appropriate to the subject matter of the contract.</w:t>
      </w:r>
    </w:p>
    <w:p w:rsidR="002E38DA" w:rsidRDefault="00514CC1">
      <w:r>
        <w:rPr>
          <w:noProof/>
          <w:lang w:eastAsia="en-GB"/>
        </w:rPr>
        <w:drawing>
          <wp:inline distT="0" distB="0" distL="0" distR="0">
            <wp:extent cx="4867275" cy="3762375"/>
            <wp:effectExtent l="19050" t="0" r="9525" b="0"/>
            <wp:docPr id="2" name="Picture 1" descr="Scottish Model of Procur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ottish Model of Procurement.jpg"/>
                    <pic:cNvPicPr/>
                  </pic:nvPicPr>
                  <pic:blipFill>
                    <a:blip r:embed="rId7" cstate="print"/>
                    <a:stretch>
                      <a:fillRect/>
                    </a:stretch>
                  </pic:blipFill>
                  <pic:spPr>
                    <a:xfrm>
                      <a:off x="0" y="0"/>
                      <a:ext cx="4867275" cy="3762375"/>
                    </a:xfrm>
                    <a:prstGeom prst="rect">
                      <a:avLst/>
                    </a:prstGeom>
                  </pic:spPr>
                </pic:pic>
              </a:graphicData>
            </a:graphic>
          </wp:inline>
        </w:drawing>
      </w:r>
    </w:p>
    <w:p w:rsidR="002E38DA" w:rsidRDefault="002E38DA">
      <w:r>
        <w:t>For each procurement project that exceeds £50,000 (‘regulated procurement’)</w:t>
      </w:r>
      <w:r w:rsidR="00514CC1">
        <w:t xml:space="preserve"> we </w:t>
      </w:r>
      <w:r w:rsidR="00F81CF7">
        <w:t xml:space="preserve">will </w:t>
      </w:r>
      <w:r w:rsidR="00514CC1">
        <w:t xml:space="preserve">develop a sourcing strategy. These strategies are based on tools provided in the Scottish Government’s </w:t>
      </w:r>
      <w:r w:rsidR="00514CC1">
        <w:lastRenderedPageBreak/>
        <w:t xml:space="preserve">Procurement Journey, such as the sustainability test. </w:t>
      </w:r>
      <w:r w:rsidR="00E23780">
        <w:t xml:space="preserve"> These tools help to identify opportunities to include social, environmental and economic issues that can be included in the procurement.</w:t>
      </w:r>
    </w:p>
    <w:p w:rsidR="00E23780" w:rsidRDefault="00FB7227">
      <w:r>
        <w:t xml:space="preserve">Our activity </w:t>
      </w:r>
      <w:r w:rsidR="00BF5911">
        <w:t xml:space="preserve">will </w:t>
      </w:r>
      <w:r>
        <w:t>include</w:t>
      </w:r>
      <w:r w:rsidR="00E23780">
        <w:t xml:space="preserve"> contracts for the </w:t>
      </w:r>
      <w:r>
        <w:t>Golden Jubilee National Hospital, Golden Jubilee Research Institute, Golden Jubilee Innovation Centre and The Golden Jubilee Conference Hotel</w:t>
      </w:r>
      <w:r w:rsidR="00E23780">
        <w:t>. Details of the contracts we h</w:t>
      </w:r>
      <w:r>
        <w:t>ave awarded are available on the Public Contracts Scotland portal.</w:t>
      </w:r>
    </w:p>
    <w:p w:rsidR="00312779" w:rsidRPr="00CF6B62" w:rsidRDefault="00E23780">
      <w:pPr>
        <w:rPr>
          <w:b/>
          <w:sz w:val="28"/>
          <w:szCs w:val="28"/>
        </w:rPr>
      </w:pPr>
      <w:r w:rsidRPr="00CF6B62">
        <w:rPr>
          <w:b/>
          <w:sz w:val="28"/>
          <w:szCs w:val="28"/>
        </w:rPr>
        <w:t>4.</w:t>
      </w:r>
      <w:r w:rsidRPr="00CF6B62">
        <w:rPr>
          <w:b/>
          <w:sz w:val="28"/>
          <w:szCs w:val="28"/>
        </w:rPr>
        <w:tab/>
        <w:t>Key priorities</w:t>
      </w:r>
    </w:p>
    <w:p w:rsidR="00FB7227" w:rsidRPr="00FB7227" w:rsidRDefault="00395870">
      <w:r>
        <w:t>The purpose of this Strategy is to set out the str</w:t>
      </w:r>
      <w:r w:rsidR="00FB7227">
        <w:t xml:space="preserve">ategic direction for the </w:t>
      </w:r>
      <w:r>
        <w:t xml:space="preserve">Procurement Service for the next 3 years.  </w:t>
      </w:r>
    </w:p>
    <w:p w:rsidR="00EF587C" w:rsidRDefault="00FB7227">
      <w:r>
        <w:t xml:space="preserve">The key priorities of the </w:t>
      </w:r>
      <w:r w:rsidR="00CE2F0F">
        <w:t>Procurement Service</w:t>
      </w:r>
      <w:r w:rsidR="004073B7">
        <w:t xml:space="preserve">’s Procurement Strategy </w:t>
      </w:r>
      <w:r w:rsidR="00CE2F0F">
        <w:t>are:</w:t>
      </w:r>
    </w:p>
    <w:p w:rsidR="00CE2F0F" w:rsidRDefault="006F69DA" w:rsidP="006F69DA">
      <w:pPr>
        <w:pStyle w:val="ListParagraph"/>
        <w:numPr>
          <w:ilvl w:val="0"/>
          <w:numId w:val="9"/>
        </w:numPr>
        <w:ind w:left="397"/>
      </w:pPr>
      <w:r>
        <w:t xml:space="preserve"> </w:t>
      </w:r>
      <w:r>
        <w:tab/>
      </w:r>
      <w:r w:rsidR="004073B7">
        <w:t xml:space="preserve">Continue the quest for best value </w:t>
      </w:r>
    </w:p>
    <w:p w:rsidR="004073B7" w:rsidRDefault="004073B7" w:rsidP="004073B7">
      <w:r>
        <w:t xml:space="preserve">We will engage with stakeholders and suppliers to </w:t>
      </w:r>
      <w:r w:rsidR="00F81CF7">
        <w:t>identify</w:t>
      </w:r>
      <w:r>
        <w:t xml:space="preserve"> new ways to achieve best value</w:t>
      </w:r>
      <w:r w:rsidR="00F81CF7">
        <w:t xml:space="preserve"> through supportive challenge of specifications and service levels, </w:t>
      </w:r>
      <w:r w:rsidR="00874F1F">
        <w:t>the use of innovative solutions</w:t>
      </w:r>
      <w:r w:rsidR="00F81CF7">
        <w:t xml:space="preserve"> where appropriate, and ongoing engagement with key suppliers</w:t>
      </w:r>
      <w:r w:rsidR="00874F1F">
        <w:t xml:space="preserve"> </w:t>
      </w:r>
      <w:r w:rsidR="00F81CF7">
        <w:t xml:space="preserve">and stakeholders through the </w:t>
      </w:r>
      <w:r w:rsidR="00874F1F">
        <w:t>contract management</w:t>
      </w:r>
      <w:r w:rsidR="00F81CF7">
        <w:t xml:space="preserve"> process post-award. </w:t>
      </w:r>
      <w:r w:rsidR="00B079B9">
        <w:t xml:space="preserve">We will embrace quality improvement with a view to ensuring that our processes are as efficient as they can be for the benefit of our stakeholders, our suppliers and ourselves. </w:t>
      </w:r>
    </w:p>
    <w:p w:rsidR="006F69DA" w:rsidRDefault="006F69DA" w:rsidP="006F69DA">
      <w:pPr>
        <w:ind w:left="37"/>
      </w:pPr>
      <w:r>
        <w:t>(b)</w:t>
      </w:r>
      <w:r>
        <w:tab/>
        <w:t>Sustainable procurement</w:t>
      </w:r>
    </w:p>
    <w:p w:rsidR="00EB36D9" w:rsidRDefault="006F69DA" w:rsidP="006F69DA">
      <w:r>
        <w:t xml:space="preserve">We will continue to develop our practice with respect to sustainable procurement. This will include looking for ways to broaden access to contracts for Small and Medium Sized Enterprises (SMEs), the third sector and supported businesses; looking for innovation and harnessing more sustainable technologies; encouraging our suppliers to provide more sustainable goods and services with lower carbon emissions; expanding the use of community benefits; embedding fair work practices; promoting equality and tackling inequality. </w:t>
      </w:r>
    </w:p>
    <w:p w:rsidR="00EB36D9" w:rsidRDefault="00EB36D9" w:rsidP="00EB36D9">
      <w:r>
        <w:t>(c)          Tacking inequalities</w:t>
      </w:r>
    </w:p>
    <w:p w:rsidR="00EB36D9" w:rsidRPr="00FD17D1" w:rsidRDefault="00EB36D9" w:rsidP="006F69DA">
      <w:pPr>
        <w:rPr>
          <w:rFonts w:cs="Arial"/>
        </w:rPr>
      </w:pPr>
      <w:r>
        <w:t xml:space="preserve">We will continue to adhere to the </w:t>
      </w:r>
      <w:r>
        <w:rPr>
          <w:rFonts w:cs="Arial"/>
        </w:rPr>
        <w:t xml:space="preserve">legal requirements of the Equality Act 2010 which specifies that procurement should pay due regard to the award criteria (economic viability and performance) and equality considerations.  Mechanisms are currently in place (and will be built upon) to ensure that suppliers and the Service comply with the Act and the Public Sector Equality Duty. </w:t>
      </w:r>
    </w:p>
    <w:p w:rsidR="004073B7" w:rsidRDefault="006F69DA" w:rsidP="006F69DA">
      <w:pPr>
        <w:ind w:left="37"/>
      </w:pPr>
      <w:r>
        <w:t>(</w:t>
      </w:r>
      <w:r w:rsidR="00FD17D1">
        <w:t>d</w:t>
      </w:r>
      <w:r>
        <w:t>)</w:t>
      </w:r>
      <w:r>
        <w:tab/>
      </w:r>
      <w:r w:rsidR="004073B7">
        <w:t>Procurement Transformation Programme (PTP) and collaborative working</w:t>
      </w:r>
    </w:p>
    <w:p w:rsidR="00BF5911" w:rsidRDefault="004073B7" w:rsidP="004073B7">
      <w:r>
        <w:t xml:space="preserve">We will continue to engage with the NHS Scotland PTP </w:t>
      </w:r>
      <w:r w:rsidR="0049594E">
        <w:t>and the NHS national boards</w:t>
      </w:r>
      <w:r w:rsidR="00CF6B62">
        <w:t>’</w:t>
      </w:r>
      <w:r w:rsidR="0049594E">
        <w:t xml:space="preserve"> collaborative work </w:t>
      </w:r>
      <w:r>
        <w:t>in order to use our resources as efficiently as possible</w:t>
      </w:r>
      <w:r w:rsidR="00B079B9">
        <w:t xml:space="preserve">. We </w:t>
      </w:r>
      <w:r>
        <w:t xml:space="preserve">will seek collaborative opportunities </w:t>
      </w:r>
      <w:r w:rsidR="00B079B9">
        <w:t xml:space="preserve">within the NHS and </w:t>
      </w:r>
      <w:r w:rsidR="00EF3461">
        <w:t xml:space="preserve">beyond </w:t>
      </w:r>
      <w:r w:rsidR="00B079B9">
        <w:t>it</w:t>
      </w:r>
      <w:r w:rsidR="00EF3461">
        <w:t xml:space="preserve"> </w:t>
      </w:r>
      <w:r>
        <w:t xml:space="preserve">wherever these may be </w:t>
      </w:r>
      <w:r w:rsidR="00F81CF7">
        <w:t>of value</w:t>
      </w:r>
      <w:r w:rsidR="00FB7227">
        <w:t xml:space="preserve"> to our Board</w:t>
      </w:r>
      <w:r w:rsidR="00DF65BD">
        <w:t xml:space="preserve"> </w:t>
      </w:r>
      <w:r w:rsidR="00BF5911">
        <w:t xml:space="preserve">We will continue to provide a managed procurement service to NHS24 in line with our service level agreement. We will </w:t>
      </w:r>
      <w:r w:rsidR="00BF5911">
        <w:lastRenderedPageBreak/>
        <w:t>continue to work with the West of Scotland Board</w:t>
      </w:r>
      <w:r w:rsidR="00DF65BD">
        <w:t>s</w:t>
      </w:r>
      <w:r w:rsidR="00BF5911">
        <w:t xml:space="preserve"> </w:t>
      </w:r>
      <w:r w:rsidR="00DF65BD">
        <w:t xml:space="preserve">whilst exploring any opportunities </w:t>
      </w:r>
      <w:r w:rsidR="00895AD4">
        <w:t>Scotland wide</w:t>
      </w:r>
      <w:r w:rsidR="00DF65BD">
        <w:t xml:space="preserve"> </w:t>
      </w:r>
      <w:r w:rsidR="00BF5911">
        <w:t xml:space="preserve">and in particular Lothian Health Board in maximising </w:t>
      </w:r>
      <w:r w:rsidR="00DF65BD">
        <w:t xml:space="preserve">both </w:t>
      </w:r>
      <w:r w:rsidR="00BF5911">
        <w:t>joint</w:t>
      </w:r>
      <w:r w:rsidR="00DF65BD">
        <w:t xml:space="preserve"> and cardiac </w:t>
      </w:r>
      <w:r w:rsidR="00895AD4">
        <w:t>device procurements</w:t>
      </w:r>
      <w:r w:rsidR="00BF5911">
        <w:t xml:space="preserve">. </w:t>
      </w:r>
    </w:p>
    <w:p w:rsidR="00C95498" w:rsidRDefault="00FD17D1" w:rsidP="004073B7">
      <w:r>
        <w:t>(e</w:t>
      </w:r>
      <w:r w:rsidR="00E1132F">
        <w:t xml:space="preserve">) </w:t>
      </w:r>
      <w:r w:rsidR="00E1132F">
        <w:tab/>
      </w:r>
      <w:r w:rsidR="00C95498">
        <w:t>Provision of Procurement Service to NHS24 Board</w:t>
      </w:r>
    </w:p>
    <w:p w:rsidR="00E1132F" w:rsidRPr="00EF587C" w:rsidRDefault="00C95498" w:rsidP="004073B7">
      <w:r>
        <w:t xml:space="preserve">We will continue to develop an integrated procurement service in conjunction with the NHS24 Board, and to work to continuously improve the Procurement Service to both Boards. </w:t>
      </w:r>
      <w:r w:rsidR="00BF5911">
        <w:t xml:space="preserve"> We will consider if this model could be rolled out across the National Boards, recognising Scottish Ambulance Service has a similar model with Health Scotland and Health Improvement Scotland.</w:t>
      </w:r>
    </w:p>
    <w:p w:rsidR="006F69DA" w:rsidRDefault="00FD17D1" w:rsidP="006F69DA">
      <w:r>
        <w:t>(f</w:t>
      </w:r>
      <w:r w:rsidR="006F69DA">
        <w:t>)</w:t>
      </w:r>
      <w:r w:rsidR="006F69DA">
        <w:tab/>
        <w:t>Team development</w:t>
      </w:r>
    </w:p>
    <w:p w:rsidR="006F69DA" w:rsidRDefault="006F69DA" w:rsidP="006F69DA">
      <w:r>
        <w:t xml:space="preserve">In order to achieve the key priorities set out above, we must continue to develop the skills of team members so that they have the capability to achieve these priorities and ensure that we continue to deliver a legally compliant service. </w:t>
      </w:r>
      <w:r w:rsidR="00BF5911">
        <w:t xml:space="preserve"> We also must look to find innovative ways to recruit and train new members of staff recognising the current shortfall in these skills across NHS Scotland. We will work closely with other public sector bodies and further education institutions to maximise these opportunities.</w:t>
      </w:r>
    </w:p>
    <w:p w:rsidR="00FD46E9" w:rsidRDefault="00FD17D1" w:rsidP="006F69DA">
      <w:r>
        <w:t>(g</w:t>
      </w:r>
      <w:r w:rsidR="006F69DA">
        <w:t>)</w:t>
      </w:r>
      <w:r w:rsidR="006F69DA">
        <w:tab/>
      </w:r>
      <w:r w:rsidR="00FD46E9">
        <w:t>Procurement &amp; Commercial Improvement Programme (PCIP)</w:t>
      </w:r>
    </w:p>
    <w:p w:rsidR="00086AFE" w:rsidRPr="00FB7227" w:rsidRDefault="00FD46E9" w:rsidP="00395870">
      <w:r>
        <w:t>We recognise that the PCIP has fostered improved practice in public sector procurement, and we will aim to improve on the scores achieved by all Shared Procurement Service partners in 2015 in the next assessment round</w:t>
      </w:r>
      <w:r w:rsidR="00B079B9">
        <w:t xml:space="preserve"> (expected within the next 12 – 24 months)</w:t>
      </w:r>
      <w:r>
        <w:t>.</w:t>
      </w:r>
    </w:p>
    <w:p w:rsidR="00395870" w:rsidRPr="00CF6B62" w:rsidRDefault="00395870" w:rsidP="00395870">
      <w:pPr>
        <w:rPr>
          <w:b/>
          <w:sz w:val="28"/>
          <w:szCs w:val="28"/>
        </w:rPr>
      </w:pPr>
      <w:r w:rsidRPr="00CF6B62">
        <w:rPr>
          <w:b/>
          <w:sz w:val="28"/>
          <w:szCs w:val="28"/>
        </w:rPr>
        <w:t>5.</w:t>
      </w:r>
      <w:r w:rsidRPr="00CF6B62">
        <w:rPr>
          <w:b/>
          <w:sz w:val="28"/>
          <w:szCs w:val="28"/>
        </w:rPr>
        <w:tab/>
        <w:t>Policies</w:t>
      </w:r>
    </w:p>
    <w:p w:rsidR="00B079B9" w:rsidRDefault="00B62E29" w:rsidP="00395870">
      <w:r>
        <w:t xml:space="preserve">In this section, we set out our general policies on a number of key areas, together with a statement on how </w:t>
      </w:r>
      <w:r w:rsidR="006F69DA">
        <w:t xml:space="preserve">we </w:t>
      </w:r>
      <w:r>
        <w:t>will monitor these over the period of the strategy.</w:t>
      </w:r>
    </w:p>
    <w:p w:rsidR="00B62E29" w:rsidRPr="00B62E29" w:rsidRDefault="00B62E29" w:rsidP="00B62E29">
      <w:pPr>
        <w:rPr>
          <w:b/>
        </w:rPr>
      </w:pPr>
      <w:r>
        <w:rPr>
          <w:b/>
        </w:rPr>
        <w:t xml:space="preserve">5.1 </w:t>
      </w:r>
      <w:r w:rsidRPr="00B62E29">
        <w:rPr>
          <w:b/>
        </w:rPr>
        <w:tab/>
      </w:r>
      <w:r>
        <w:rPr>
          <w:b/>
        </w:rPr>
        <w:t>Our p</w:t>
      </w:r>
      <w:r w:rsidRPr="00B62E29">
        <w:rPr>
          <w:b/>
        </w:rPr>
        <w:t>olicy on the use of community benefits</w:t>
      </w:r>
      <w:r>
        <w:rPr>
          <w:b/>
        </w:rPr>
        <w:t xml:space="preserve"> in our contracts</w:t>
      </w:r>
    </w:p>
    <w:p w:rsidR="00264C5B" w:rsidRPr="00264C5B" w:rsidRDefault="00264C5B" w:rsidP="00264C5B">
      <w:pPr>
        <w:spacing w:before="150" w:after="150" w:line="300" w:lineRule="atLeast"/>
        <w:rPr>
          <w:rFonts w:eastAsia="Times New Roman" w:cs="Arial"/>
          <w:color w:val="333333"/>
          <w:lang w:val="en-US" w:eastAsia="en-GB"/>
        </w:rPr>
      </w:pPr>
      <w:r w:rsidRPr="00264C5B">
        <w:rPr>
          <w:rFonts w:eastAsia="Times New Roman" w:cs="Arial"/>
          <w:color w:val="333333"/>
          <w:lang w:val="en-US" w:eastAsia="en-GB"/>
        </w:rPr>
        <w:t xml:space="preserve">Community Benefit Clauses are contractual clauses which can be used to build a range of economic, social or environmental conditions into the delivery of public contracts. </w:t>
      </w:r>
      <w:r>
        <w:rPr>
          <w:rFonts w:eastAsia="Times New Roman" w:cs="Arial"/>
          <w:color w:val="333333"/>
          <w:lang w:val="en-US" w:eastAsia="en-GB"/>
        </w:rPr>
        <w:t>They</w:t>
      </w:r>
      <w:r w:rsidRPr="00264C5B">
        <w:rPr>
          <w:rFonts w:eastAsia="Times New Roman" w:cs="Arial"/>
          <w:color w:val="333333"/>
          <w:lang w:val="en-US" w:eastAsia="en-GB"/>
        </w:rPr>
        <w:t xml:space="preserve"> can contribut</w:t>
      </w:r>
      <w:r>
        <w:rPr>
          <w:rFonts w:eastAsia="Times New Roman" w:cs="Arial"/>
          <w:color w:val="333333"/>
          <w:lang w:val="en-US" w:eastAsia="en-GB"/>
        </w:rPr>
        <w:t xml:space="preserve">e to </w:t>
      </w:r>
      <w:r w:rsidRPr="00264C5B">
        <w:rPr>
          <w:rFonts w:eastAsia="Times New Roman" w:cs="Arial"/>
          <w:color w:val="333333"/>
          <w:lang w:val="en-US" w:eastAsia="en-GB"/>
        </w:rPr>
        <w:t xml:space="preserve">sustainable procurement </w:t>
      </w:r>
      <w:r>
        <w:rPr>
          <w:rFonts w:eastAsia="Times New Roman" w:cs="Arial"/>
          <w:color w:val="333333"/>
          <w:lang w:val="en-US" w:eastAsia="en-GB"/>
        </w:rPr>
        <w:t>and enable</w:t>
      </w:r>
      <w:r w:rsidRPr="00264C5B">
        <w:rPr>
          <w:rFonts w:eastAsia="Times New Roman" w:cs="Arial"/>
          <w:color w:val="333333"/>
          <w:lang w:val="en-US" w:eastAsia="en-GB"/>
        </w:rPr>
        <w:t xml:space="preserve"> organisations to contribute to the achievement of outcomes which deliver social benefit</w:t>
      </w:r>
      <w:r>
        <w:rPr>
          <w:rFonts w:eastAsia="Times New Roman" w:cs="Arial"/>
          <w:color w:val="333333"/>
          <w:lang w:val="en-US" w:eastAsia="en-GB"/>
        </w:rPr>
        <w:t>s</w:t>
      </w:r>
      <w:r w:rsidRPr="00264C5B">
        <w:rPr>
          <w:rFonts w:eastAsia="Times New Roman" w:cs="Arial"/>
          <w:color w:val="333333"/>
          <w:lang w:val="en-US" w:eastAsia="en-GB"/>
        </w:rPr>
        <w:t>.</w:t>
      </w:r>
    </w:p>
    <w:p w:rsidR="00264C5B" w:rsidRDefault="00264C5B" w:rsidP="00264C5B">
      <w:pPr>
        <w:spacing w:before="150" w:after="150" w:line="300" w:lineRule="atLeast"/>
        <w:rPr>
          <w:rFonts w:eastAsia="Times New Roman" w:cs="Arial"/>
          <w:color w:val="333333"/>
          <w:lang w:val="en-US" w:eastAsia="en-GB"/>
        </w:rPr>
      </w:pPr>
      <w:r>
        <w:rPr>
          <w:rFonts w:eastAsia="Times New Roman" w:cs="Arial"/>
          <w:color w:val="333333"/>
          <w:lang w:val="en-US" w:eastAsia="en-GB"/>
        </w:rPr>
        <w:t xml:space="preserve">These </w:t>
      </w:r>
      <w:r w:rsidR="00EB36D9">
        <w:rPr>
          <w:rFonts w:eastAsia="Times New Roman" w:cs="Arial"/>
          <w:color w:val="333333"/>
          <w:lang w:val="en-US" w:eastAsia="en-GB"/>
        </w:rPr>
        <w:t xml:space="preserve">will </w:t>
      </w:r>
      <w:r>
        <w:rPr>
          <w:rFonts w:eastAsia="Times New Roman" w:cs="Arial"/>
          <w:color w:val="333333"/>
          <w:lang w:val="en-US" w:eastAsia="en-GB"/>
        </w:rPr>
        <w:t>include:</w:t>
      </w:r>
    </w:p>
    <w:p w:rsidR="00264C5B" w:rsidRDefault="00264C5B" w:rsidP="00264C5B">
      <w:pPr>
        <w:pStyle w:val="ListParagraph"/>
        <w:numPr>
          <w:ilvl w:val="0"/>
          <w:numId w:val="1"/>
        </w:numPr>
        <w:spacing w:before="150" w:after="150" w:line="300" w:lineRule="atLeast"/>
        <w:rPr>
          <w:rFonts w:eastAsia="Times New Roman" w:cs="Arial"/>
          <w:color w:val="333333"/>
          <w:lang w:val="en-US" w:eastAsia="en-GB"/>
        </w:rPr>
      </w:pPr>
      <w:r>
        <w:rPr>
          <w:rFonts w:eastAsia="Times New Roman" w:cs="Arial"/>
          <w:color w:val="333333"/>
          <w:lang w:val="en-US" w:eastAsia="en-GB"/>
        </w:rPr>
        <w:t>Creating opportunities</w:t>
      </w:r>
      <w:r w:rsidR="00974E4B">
        <w:rPr>
          <w:rFonts w:eastAsia="Times New Roman" w:cs="Arial"/>
          <w:color w:val="333333"/>
          <w:lang w:val="en-US" w:eastAsia="en-GB"/>
        </w:rPr>
        <w:t xml:space="preserve"> for supported businesses and third sector organisations to deliver public services</w:t>
      </w:r>
    </w:p>
    <w:p w:rsidR="00974E4B" w:rsidRDefault="00974E4B" w:rsidP="00264C5B">
      <w:pPr>
        <w:pStyle w:val="ListParagraph"/>
        <w:numPr>
          <w:ilvl w:val="0"/>
          <w:numId w:val="1"/>
        </w:numPr>
        <w:spacing w:before="150" w:after="150" w:line="300" w:lineRule="atLeast"/>
        <w:rPr>
          <w:rFonts w:eastAsia="Times New Roman" w:cs="Arial"/>
          <w:color w:val="333333"/>
          <w:lang w:val="en-US" w:eastAsia="en-GB"/>
        </w:rPr>
      </w:pPr>
      <w:r>
        <w:rPr>
          <w:rFonts w:eastAsia="Times New Roman" w:cs="Arial"/>
          <w:color w:val="333333"/>
          <w:lang w:val="en-US" w:eastAsia="en-GB"/>
        </w:rPr>
        <w:t>Employment and training opportunities for the long term unemployed and disadvantaged individuals</w:t>
      </w:r>
    </w:p>
    <w:p w:rsidR="00974E4B" w:rsidRDefault="00974E4B" w:rsidP="00264C5B">
      <w:pPr>
        <w:pStyle w:val="ListParagraph"/>
        <w:numPr>
          <w:ilvl w:val="0"/>
          <w:numId w:val="1"/>
        </w:numPr>
        <w:spacing w:before="150" w:after="150" w:line="300" w:lineRule="atLeast"/>
        <w:rPr>
          <w:rFonts w:eastAsia="Times New Roman" w:cs="Arial"/>
          <w:color w:val="333333"/>
          <w:lang w:val="en-US" w:eastAsia="en-GB"/>
        </w:rPr>
      </w:pPr>
      <w:r>
        <w:rPr>
          <w:rFonts w:eastAsia="Times New Roman" w:cs="Arial"/>
          <w:color w:val="333333"/>
          <w:lang w:val="en-US" w:eastAsia="en-GB"/>
        </w:rPr>
        <w:t>Creating opportunities for SMEs to deliver public services</w:t>
      </w:r>
    </w:p>
    <w:p w:rsidR="00974E4B" w:rsidRDefault="00974E4B" w:rsidP="00264C5B">
      <w:pPr>
        <w:pStyle w:val="ListParagraph"/>
        <w:numPr>
          <w:ilvl w:val="0"/>
          <w:numId w:val="1"/>
        </w:numPr>
        <w:spacing w:before="150" w:after="150" w:line="300" w:lineRule="atLeast"/>
        <w:rPr>
          <w:rFonts w:eastAsia="Times New Roman" w:cs="Arial"/>
          <w:color w:val="333333"/>
          <w:lang w:val="en-US" w:eastAsia="en-GB"/>
        </w:rPr>
      </w:pPr>
      <w:r>
        <w:rPr>
          <w:rFonts w:eastAsia="Times New Roman" w:cs="Arial"/>
          <w:color w:val="333333"/>
          <w:lang w:val="en-US" w:eastAsia="en-GB"/>
        </w:rPr>
        <w:t>Environmental activities</w:t>
      </w:r>
    </w:p>
    <w:p w:rsidR="00974E4B" w:rsidRPr="00264C5B" w:rsidRDefault="00974E4B" w:rsidP="00264C5B">
      <w:pPr>
        <w:pStyle w:val="ListParagraph"/>
        <w:numPr>
          <w:ilvl w:val="0"/>
          <w:numId w:val="1"/>
        </w:numPr>
        <w:spacing w:before="150" w:after="150" w:line="300" w:lineRule="atLeast"/>
        <w:rPr>
          <w:rFonts w:eastAsia="Times New Roman" w:cs="Arial"/>
          <w:color w:val="333333"/>
          <w:lang w:val="en-US" w:eastAsia="en-GB"/>
        </w:rPr>
      </w:pPr>
      <w:r>
        <w:rPr>
          <w:rFonts w:eastAsia="Times New Roman" w:cs="Arial"/>
          <w:color w:val="333333"/>
          <w:lang w:val="en-US" w:eastAsia="en-GB"/>
        </w:rPr>
        <w:t>Support for community initiatives</w:t>
      </w:r>
    </w:p>
    <w:p w:rsidR="007F55E4" w:rsidRDefault="00500F1A" w:rsidP="007F55E4">
      <w:r>
        <w:lastRenderedPageBreak/>
        <w:t>T</w:t>
      </w:r>
      <w:r w:rsidR="00B62E29">
        <w:t xml:space="preserve">he Shared Procurement Service </w:t>
      </w:r>
      <w:r>
        <w:t>will</w:t>
      </w:r>
      <w:r w:rsidR="00B62E29" w:rsidRPr="00B62E29">
        <w:t xml:space="preserve"> seek community benefits for all procurements value</w:t>
      </w:r>
      <w:r w:rsidR="00264C5B">
        <w:t>d</w:t>
      </w:r>
      <w:r w:rsidR="00B62E29" w:rsidRPr="00B62E29">
        <w:t xml:space="preserve"> at £4m and above in line with the requirements of the Procurement Reform (Scotland) Act 2014.</w:t>
      </w:r>
      <w:r w:rsidR="00B62E29">
        <w:t xml:space="preserve"> In a</w:t>
      </w:r>
      <w:r w:rsidR="007F55E4">
        <w:t>ddition, we will consider the potential for community benefits for all regulated procurements (currently over £50,000 for goods and services, and £2m for works)</w:t>
      </w:r>
      <w:r w:rsidR="00415F37">
        <w:t xml:space="preserve"> and seek to obtain these where possible</w:t>
      </w:r>
      <w:r w:rsidR="007F55E4">
        <w:t xml:space="preserve">. </w:t>
      </w:r>
    </w:p>
    <w:p w:rsidR="007F55E4" w:rsidRPr="00B62E29" w:rsidRDefault="007F55E4" w:rsidP="007F55E4">
      <w:r>
        <w:t xml:space="preserve">We will monitor the community benefits achieved and report </w:t>
      </w:r>
      <w:r w:rsidR="00415F37">
        <w:t>this i</w:t>
      </w:r>
      <w:r w:rsidR="00DA23DD">
        <w:t>n</w:t>
      </w:r>
      <w:r w:rsidR="00415F37">
        <w:t xml:space="preserve"> our Annual Report</w:t>
      </w:r>
      <w:r w:rsidR="00974E4B">
        <w:t xml:space="preserve"> on procurement activity.</w:t>
      </w:r>
    </w:p>
    <w:p w:rsidR="007F55E4" w:rsidRPr="00B62E29" w:rsidRDefault="007F55E4" w:rsidP="007F55E4">
      <w:pPr>
        <w:rPr>
          <w:b/>
        </w:rPr>
      </w:pPr>
      <w:r>
        <w:rPr>
          <w:b/>
        </w:rPr>
        <w:t>5.2</w:t>
      </w:r>
      <w:r w:rsidRPr="00B62E29">
        <w:rPr>
          <w:b/>
        </w:rPr>
        <w:tab/>
      </w:r>
      <w:r>
        <w:rPr>
          <w:b/>
        </w:rPr>
        <w:t>Our p</w:t>
      </w:r>
      <w:r w:rsidRPr="00B62E29">
        <w:rPr>
          <w:b/>
        </w:rPr>
        <w:t xml:space="preserve">olicy on consulting and engaging with those affected by </w:t>
      </w:r>
      <w:r>
        <w:rPr>
          <w:b/>
        </w:rPr>
        <w:t>our</w:t>
      </w:r>
      <w:r w:rsidRPr="00B62E29">
        <w:rPr>
          <w:b/>
        </w:rPr>
        <w:t xml:space="preserve"> procurements</w:t>
      </w:r>
    </w:p>
    <w:p w:rsidR="007F55E4" w:rsidRPr="00DA23DD" w:rsidRDefault="00DA23DD" w:rsidP="007F55E4">
      <w:r w:rsidRPr="00DA23DD">
        <w:t>The</w:t>
      </w:r>
      <w:r>
        <w:t xml:space="preserve"> Procurement Service works with </w:t>
      </w:r>
      <w:r w:rsidR="00974E4B">
        <w:t xml:space="preserve">internal </w:t>
      </w:r>
      <w:r>
        <w:t>stakeholders</w:t>
      </w:r>
      <w:r w:rsidR="00974E4B">
        <w:t xml:space="preserve"> and</w:t>
      </w:r>
      <w:r>
        <w:t xml:space="preserve"> potential suppliers to help us </w:t>
      </w:r>
      <w:r w:rsidR="00E420F7">
        <w:t xml:space="preserve">to </w:t>
      </w:r>
      <w:r>
        <w:t xml:space="preserve">design our procurements. </w:t>
      </w:r>
      <w:r w:rsidR="00E420F7">
        <w:t xml:space="preserve">Internal stakeholders may include </w:t>
      </w:r>
      <w:r w:rsidR="00974E4B">
        <w:t>users of the goods or services, budget holders, senior management</w:t>
      </w:r>
      <w:r w:rsidR="00E420F7">
        <w:t>,</w:t>
      </w:r>
      <w:r w:rsidR="00974E4B">
        <w:t xml:space="preserve"> subject matter experts</w:t>
      </w:r>
      <w:r w:rsidR="00E420F7">
        <w:t xml:space="preserve"> or staff representatives</w:t>
      </w:r>
      <w:r w:rsidR="00974E4B">
        <w:t xml:space="preserve">. </w:t>
      </w:r>
      <w:r w:rsidR="00E420F7">
        <w:t>Stakeholder mapping is a component of the sourcing strategy that is developed for all regulated procurements.</w:t>
      </w:r>
    </w:p>
    <w:p w:rsidR="00B62E29" w:rsidRPr="00B62E29" w:rsidRDefault="00DA23DD" w:rsidP="00B62E29">
      <w:r>
        <w:t>We will record any complaints about failure to consult and report this in our Annual Report.</w:t>
      </w:r>
    </w:p>
    <w:p w:rsidR="00B62E29" w:rsidRPr="00B62E29" w:rsidRDefault="00432A1B" w:rsidP="00B62E29">
      <w:pPr>
        <w:ind w:left="720" w:hanging="720"/>
        <w:rPr>
          <w:b/>
        </w:rPr>
      </w:pPr>
      <w:r>
        <w:rPr>
          <w:b/>
        </w:rPr>
        <w:t>5.</w:t>
      </w:r>
      <w:r w:rsidR="00B62E29" w:rsidRPr="00B62E29">
        <w:rPr>
          <w:b/>
        </w:rPr>
        <w:t>3</w:t>
      </w:r>
      <w:r w:rsidR="00B62E29" w:rsidRPr="00B62E29">
        <w:rPr>
          <w:b/>
        </w:rPr>
        <w:tab/>
        <w:t>Policy on the payment of a living wage to persons involved in producing, providing or constructing the subject matter of regulated procurements</w:t>
      </w:r>
    </w:p>
    <w:p w:rsidR="00120100" w:rsidRDefault="005128BE" w:rsidP="00B62E29">
      <w:r>
        <w:t>The Golden Jubilee Foundation</w:t>
      </w:r>
      <w:r w:rsidR="00B62E29" w:rsidRPr="00B62E29">
        <w:t xml:space="preserve"> supports the right of employees to earn a</w:t>
      </w:r>
      <w:r>
        <w:t xml:space="preserve"> fair wage. The Board </w:t>
      </w:r>
      <w:r w:rsidR="00B62E29" w:rsidRPr="00B62E29">
        <w:t>is not permitted to</w:t>
      </w:r>
      <w:r w:rsidR="00E420F7">
        <w:t xml:space="preserve"> mandate</w:t>
      </w:r>
      <w:r w:rsidR="00B62E29" w:rsidRPr="00B62E29">
        <w:t xml:space="preserve"> the application of the Living Wage within its supplier community. However, </w:t>
      </w:r>
      <w:r w:rsidR="006F69DA">
        <w:t>we</w:t>
      </w:r>
      <w:r w:rsidR="00B62E29" w:rsidRPr="00B62E29">
        <w:t xml:space="preserve"> will work with suppliers through contract and supplier management, and through addressing fair work practices in procurement processes to encourage suppliers to pay the Living Wage within their staff structures. Suppliers will be asked about fair work practices, including the Living Wage, in future procurements where relevant. </w:t>
      </w:r>
      <w:r w:rsidR="00120100">
        <w:t xml:space="preserve">Key suppliers </w:t>
      </w:r>
      <w:r w:rsidR="00E420F7">
        <w:t>will be monitored through the contract management process.</w:t>
      </w:r>
    </w:p>
    <w:p w:rsidR="00B62E29" w:rsidRPr="00B62E29" w:rsidRDefault="00432A1B" w:rsidP="00B62E29">
      <w:pPr>
        <w:ind w:left="720" w:hanging="720"/>
        <w:rPr>
          <w:b/>
        </w:rPr>
      </w:pPr>
      <w:r>
        <w:rPr>
          <w:b/>
        </w:rPr>
        <w:t>5.</w:t>
      </w:r>
      <w:r w:rsidR="00CF6B62">
        <w:rPr>
          <w:b/>
        </w:rPr>
        <w:t>4</w:t>
      </w:r>
      <w:r w:rsidR="00B62E29" w:rsidRPr="00B62E29">
        <w:rPr>
          <w:b/>
        </w:rPr>
        <w:tab/>
        <w:t>Policy on promoting compliance by contractors and sub-contractors with the Health and Safety at Work etc Act 1974 and any provision made under that Act</w:t>
      </w:r>
    </w:p>
    <w:p w:rsidR="00120100" w:rsidRDefault="005128BE" w:rsidP="00E420F7">
      <w:r>
        <w:t>The Golden Jubilee Foundation</w:t>
      </w:r>
      <w:r w:rsidR="00B62E29" w:rsidRPr="00B62E29">
        <w:t xml:space="preserve"> has a policy for the Management of Contractors which is aimed at promoting compliance with the Health and Safety at Work etc Act 1974, and a broad range of other health and safety legislation. This policy is provided to contractors and they are required to comply with it. In addition, the Service uses standard NHS terms and conditions of contract which require contractors to comply with health and safety legislation, and provide remedies for any failure to comply with this.</w:t>
      </w:r>
      <w:r w:rsidR="00E420F7">
        <w:t xml:space="preserve"> </w:t>
      </w:r>
      <w:r w:rsidR="007B247E">
        <w:t xml:space="preserve">Key suppliers </w:t>
      </w:r>
      <w:r w:rsidR="00E420F7">
        <w:t xml:space="preserve">will be monitored through the contract management process. </w:t>
      </w:r>
    </w:p>
    <w:p w:rsidR="00B62E29" w:rsidRPr="00B62E29" w:rsidRDefault="00432A1B" w:rsidP="00B62E29">
      <w:pPr>
        <w:rPr>
          <w:b/>
        </w:rPr>
      </w:pPr>
      <w:r>
        <w:rPr>
          <w:b/>
        </w:rPr>
        <w:t>5.</w:t>
      </w:r>
      <w:r w:rsidR="00CF6B62">
        <w:rPr>
          <w:b/>
        </w:rPr>
        <w:t>5</w:t>
      </w:r>
      <w:r w:rsidR="00B62E29" w:rsidRPr="00B62E29">
        <w:rPr>
          <w:b/>
        </w:rPr>
        <w:tab/>
        <w:t>Policy on the procurement of fairly and ethically traded goods and services</w:t>
      </w:r>
    </w:p>
    <w:p w:rsidR="00B62E29" w:rsidRPr="00B62E29" w:rsidRDefault="00B62E29" w:rsidP="00B62E29">
      <w:r w:rsidRPr="00B62E29">
        <w:t xml:space="preserve">The </w:t>
      </w:r>
      <w:r w:rsidR="005128BE">
        <w:t>Golden Jubilee Foundation</w:t>
      </w:r>
      <w:r w:rsidRPr="00B62E29">
        <w:t xml:space="preserve"> will consider the requirement for specifying fairly traded and ethically traded goods and services in relevant procurements on a case by case basis, as set out in its sustainable procurement policy. </w:t>
      </w:r>
      <w:r w:rsidR="00514663">
        <w:t xml:space="preserve"> The shared service partners buy minimal amounts of goods and services that </w:t>
      </w:r>
      <w:bookmarkStart w:id="0" w:name="_GoBack"/>
      <w:r w:rsidR="003D19A5">
        <w:t>c</w:t>
      </w:r>
      <w:r w:rsidR="00514663">
        <w:t>ould</w:t>
      </w:r>
      <w:bookmarkEnd w:id="0"/>
      <w:r w:rsidR="00514663">
        <w:t xml:space="preserve"> have a fair trade or ethical trade implication</w:t>
      </w:r>
      <w:r w:rsidR="00120100">
        <w:t>s</w:t>
      </w:r>
      <w:r w:rsidR="00514663">
        <w:t>, and most of these commodity areas would be covered by National Procurement framework contracts e.g. staff uniforms (cotton content), foodstuffs.</w:t>
      </w:r>
    </w:p>
    <w:p w:rsidR="00B62E29" w:rsidRPr="00B62E29" w:rsidRDefault="00432A1B" w:rsidP="00B62E29">
      <w:pPr>
        <w:rPr>
          <w:rFonts w:cs="Arial"/>
          <w:b/>
        </w:rPr>
      </w:pPr>
      <w:r>
        <w:rPr>
          <w:rFonts w:cs="Arial"/>
          <w:b/>
        </w:rPr>
        <w:lastRenderedPageBreak/>
        <w:t>5.</w:t>
      </w:r>
      <w:r w:rsidR="00CF6B62">
        <w:rPr>
          <w:rFonts w:cs="Arial"/>
          <w:b/>
        </w:rPr>
        <w:t>6</w:t>
      </w:r>
      <w:r w:rsidR="00B62E29" w:rsidRPr="00B62E29">
        <w:rPr>
          <w:rFonts w:cs="Arial"/>
          <w:b/>
        </w:rPr>
        <w:tab/>
        <w:t>Policy on how it intends its approach to regulated procurements involving food to:</w:t>
      </w:r>
    </w:p>
    <w:p w:rsidR="00B62E29" w:rsidRPr="00B62E29" w:rsidRDefault="00B62E29" w:rsidP="00B62E29">
      <w:pPr>
        <w:pStyle w:val="ListParagraph"/>
        <w:numPr>
          <w:ilvl w:val="0"/>
          <w:numId w:val="5"/>
        </w:numPr>
        <w:rPr>
          <w:rFonts w:cs="Arial"/>
          <w:b/>
        </w:rPr>
      </w:pPr>
      <w:r w:rsidRPr="00B62E29">
        <w:rPr>
          <w:rFonts w:cs="Arial"/>
          <w:b/>
        </w:rPr>
        <w:t>improve the health, wellbeing and education of communities in the authority’s area</w:t>
      </w:r>
    </w:p>
    <w:p w:rsidR="00B62E29" w:rsidRDefault="00B62E29" w:rsidP="00036610">
      <w:pPr>
        <w:pStyle w:val="ListParagraph"/>
        <w:numPr>
          <w:ilvl w:val="0"/>
          <w:numId w:val="5"/>
        </w:numPr>
        <w:rPr>
          <w:rFonts w:cs="Arial"/>
          <w:b/>
        </w:rPr>
      </w:pPr>
      <w:proofErr w:type="gramStart"/>
      <w:r w:rsidRPr="00B62E29">
        <w:rPr>
          <w:rFonts w:cs="Arial"/>
          <w:b/>
        </w:rPr>
        <w:t>promote</w:t>
      </w:r>
      <w:proofErr w:type="gramEnd"/>
      <w:r w:rsidRPr="00B62E29">
        <w:rPr>
          <w:rFonts w:cs="Arial"/>
          <w:b/>
        </w:rPr>
        <w:t xml:space="preserve"> the highest standards of animal welfare</w:t>
      </w:r>
      <w:r w:rsidR="00036610">
        <w:rPr>
          <w:rFonts w:cs="Arial"/>
          <w:b/>
        </w:rPr>
        <w:t>.</w:t>
      </w:r>
    </w:p>
    <w:p w:rsidR="00036610" w:rsidRDefault="00036610" w:rsidP="00036610">
      <w:pPr>
        <w:pStyle w:val="ListParagraph"/>
        <w:ind w:hanging="720"/>
        <w:rPr>
          <w:rFonts w:cs="Arial"/>
          <w:b/>
        </w:rPr>
      </w:pPr>
    </w:p>
    <w:p w:rsidR="00B62E29" w:rsidRPr="00B62E29" w:rsidRDefault="00036610" w:rsidP="00B62E29">
      <w:pPr>
        <w:pStyle w:val="ListParagraph"/>
        <w:ind w:left="0"/>
        <w:rPr>
          <w:rFonts w:cs="Arial"/>
        </w:rPr>
      </w:pPr>
      <w:r w:rsidRPr="00036610">
        <w:rPr>
          <w:rFonts w:cs="Arial"/>
        </w:rPr>
        <w:t>The Golden Jubilee</w:t>
      </w:r>
      <w:r>
        <w:rPr>
          <w:rFonts w:cs="Arial"/>
        </w:rPr>
        <w:t xml:space="preserve"> promot</w:t>
      </w:r>
      <w:r w:rsidR="00885EE4">
        <w:rPr>
          <w:rFonts w:cs="Arial"/>
        </w:rPr>
        <w:t xml:space="preserve">es the use of National Framework Contracts to procure all food required for both patients and staff and therefore the requirement to undertake regulated procurements in respect of food and related provisions is rare.  Any regulated procurement required in respect of food will reflect the requirements noted above. </w:t>
      </w:r>
    </w:p>
    <w:p w:rsidR="00B62E29" w:rsidRPr="00B62E29" w:rsidRDefault="00432A1B" w:rsidP="00B62E29">
      <w:pPr>
        <w:rPr>
          <w:rFonts w:cs="Arial"/>
          <w:b/>
        </w:rPr>
      </w:pPr>
      <w:r>
        <w:rPr>
          <w:rFonts w:cs="Arial"/>
          <w:b/>
        </w:rPr>
        <w:t>5.</w:t>
      </w:r>
      <w:r w:rsidR="00CF6B62">
        <w:rPr>
          <w:rFonts w:cs="Arial"/>
          <w:b/>
        </w:rPr>
        <w:t>7</w:t>
      </w:r>
      <w:r w:rsidR="00B62E29" w:rsidRPr="00B62E29">
        <w:rPr>
          <w:rFonts w:cs="Arial"/>
          <w:b/>
        </w:rPr>
        <w:tab/>
        <w:t>Payment processes</w:t>
      </w:r>
    </w:p>
    <w:p w:rsidR="00B62E29" w:rsidRPr="00B62E29" w:rsidRDefault="00B62E29" w:rsidP="00B62E29">
      <w:pPr>
        <w:pStyle w:val="ListParagraph"/>
        <w:numPr>
          <w:ilvl w:val="0"/>
          <w:numId w:val="4"/>
        </w:numPr>
        <w:rPr>
          <w:rFonts w:cs="Arial"/>
          <w:b/>
        </w:rPr>
      </w:pPr>
      <w:r w:rsidRPr="00B62E29">
        <w:rPr>
          <w:rFonts w:cs="Arial"/>
          <w:b/>
        </w:rPr>
        <w:t>the authority must set out how it intends to ensure that, so far as reasonably practicable, the following payments are made no later than 30 days after the invoice for</w:t>
      </w:r>
    </w:p>
    <w:p w:rsidR="00B62E29" w:rsidRPr="00B62E29" w:rsidRDefault="00B62E29" w:rsidP="00B62E29">
      <w:pPr>
        <w:pStyle w:val="ListParagraph"/>
        <w:numPr>
          <w:ilvl w:val="0"/>
          <w:numId w:val="7"/>
        </w:numPr>
        <w:rPr>
          <w:rFonts w:cs="Arial"/>
          <w:b/>
        </w:rPr>
      </w:pPr>
      <w:r w:rsidRPr="00B62E29">
        <w:rPr>
          <w:rFonts w:cs="Arial"/>
          <w:b/>
        </w:rPr>
        <w:t>contractors</w:t>
      </w:r>
    </w:p>
    <w:p w:rsidR="00B62E29" w:rsidRPr="00B62E29" w:rsidRDefault="00B62E29" w:rsidP="00B62E29">
      <w:pPr>
        <w:pStyle w:val="ListParagraph"/>
        <w:numPr>
          <w:ilvl w:val="0"/>
          <w:numId w:val="7"/>
        </w:numPr>
        <w:rPr>
          <w:rFonts w:cs="Arial"/>
          <w:b/>
        </w:rPr>
      </w:pPr>
      <w:r w:rsidRPr="00B62E29">
        <w:rPr>
          <w:rFonts w:cs="Arial"/>
          <w:b/>
        </w:rPr>
        <w:t>sub-contractors</w:t>
      </w:r>
    </w:p>
    <w:p w:rsidR="00B62E29" w:rsidRPr="00B62E29" w:rsidRDefault="00B62E29" w:rsidP="00B62E29">
      <w:pPr>
        <w:pStyle w:val="ListParagraph"/>
        <w:numPr>
          <w:ilvl w:val="0"/>
          <w:numId w:val="7"/>
        </w:numPr>
        <w:rPr>
          <w:rFonts w:cs="Arial"/>
          <w:b/>
        </w:rPr>
      </w:pPr>
      <w:r w:rsidRPr="00B62E29">
        <w:rPr>
          <w:rFonts w:cs="Arial"/>
          <w:b/>
        </w:rPr>
        <w:t>sub- contractors to sub-contractors</w:t>
      </w:r>
    </w:p>
    <w:p w:rsidR="00B62E29" w:rsidRPr="00B62E29" w:rsidRDefault="00B62E29" w:rsidP="00B62E29">
      <w:r w:rsidRPr="00B62E29">
        <w:t xml:space="preserve">The </w:t>
      </w:r>
      <w:r w:rsidR="005128BE">
        <w:t>Golden Jubilee Foundation has</w:t>
      </w:r>
      <w:r w:rsidR="00120100">
        <w:t xml:space="preserve"> </w:t>
      </w:r>
      <w:r w:rsidRPr="00B62E29">
        <w:t>polic</w:t>
      </w:r>
      <w:r w:rsidR="00120100">
        <w:t xml:space="preserve">ies on </w:t>
      </w:r>
      <w:r w:rsidRPr="00B62E29">
        <w:t>the Prompt Payment of Suppliers. Th</w:t>
      </w:r>
      <w:r w:rsidR="0049594E">
        <w:t xml:space="preserve">ese </w:t>
      </w:r>
      <w:r w:rsidRPr="00B62E29">
        <w:t>polic</w:t>
      </w:r>
      <w:r w:rsidR="0049594E">
        <w:t>ies</w:t>
      </w:r>
      <w:r w:rsidRPr="00B62E29">
        <w:t xml:space="preserve"> state that approved invoices will be paid within 30 days, although the</w:t>
      </w:r>
      <w:r w:rsidR="005128BE">
        <w:t xml:space="preserve"> </w:t>
      </w:r>
      <w:r w:rsidRPr="00B62E29">
        <w:t>Finance Department aim to achieve payment within 10 days.</w:t>
      </w:r>
    </w:p>
    <w:p w:rsidR="00B62E29" w:rsidRPr="00B62E29" w:rsidRDefault="00B62E29" w:rsidP="00B62E29">
      <w:r w:rsidRPr="00B62E29">
        <w:t xml:space="preserve">In addition, the </w:t>
      </w:r>
      <w:r w:rsidR="0049594E">
        <w:t xml:space="preserve">Procurement </w:t>
      </w:r>
      <w:r w:rsidRPr="00B62E29">
        <w:t>Service uses standard NHS terms and conditions of contract which require contractors to pay their sub-contractors within 30 days. If this does not occur, s</w:t>
      </w:r>
      <w:r w:rsidR="000C24EA">
        <w:t>ub-contractors may apply to our Board</w:t>
      </w:r>
      <w:r w:rsidR="0049594E">
        <w:t xml:space="preserve"> </w:t>
      </w:r>
      <w:r w:rsidRPr="00B62E29">
        <w:t xml:space="preserve">for support to resolve the matter. </w:t>
      </w:r>
    </w:p>
    <w:p w:rsidR="00EB36D9" w:rsidRPr="00B62E29" w:rsidRDefault="00514663" w:rsidP="00B62E29">
      <w:r>
        <w:t>T</w:t>
      </w:r>
      <w:r w:rsidR="00B62E29" w:rsidRPr="00B62E29">
        <w:t xml:space="preserve">he </w:t>
      </w:r>
      <w:r w:rsidR="000C24EA">
        <w:t xml:space="preserve">Golden Jubilee Foundation is </w:t>
      </w:r>
      <w:r w:rsidR="00B62E29" w:rsidRPr="00B62E29">
        <w:t xml:space="preserve">required to comply with the NHS policy on ‘No PO no pay’ (i.e. invoices must quote purchase order numbers). </w:t>
      </w:r>
      <w:r w:rsidR="000C24EA">
        <w:t>Any Invoice</w:t>
      </w:r>
      <w:r w:rsidR="00B62E29" w:rsidRPr="00B62E29">
        <w:t xml:space="preserve"> without a</w:t>
      </w:r>
      <w:r w:rsidR="000C24EA">
        <w:t xml:space="preserve"> valid purchase order number is</w:t>
      </w:r>
      <w:r w:rsidR="00B62E29" w:rsidRPr="00B62E29">
        <w:t xml:space="preserve"> returned to </w:t>
      </w:r>
      <w:r w:rsidR="000C24EA">
        <w:t>the supplier</w:t>
      </w:r>
      <w:r w:rsidR="00B62E29" w:rsidRPr="00B62E29">
        <w:t xml:space="preserve">. The requirement for invoices to show order numbers is made clear in the </w:t>
      </w:r>
      <w:r w:rsidR="0049594E">
        <w:t>NHS</w:t>
      </w:r>
      <w:r w:rsidR="00B62E29" w:rsidRPr="00B62E29">
        <w:t xml:space="preserve"> terms and conditions of contract</w:t>
      </w:r>
      <w:r w:rsidR="0049594E">
        <w:t>.</w:t>
      </w:r>
    </w:p>
    <w:p w:rsidR="00432A1B" w:rsidRPr="00CF6B62" w:rsidRDefault="00432A1B" w:rsidP="00432A1B">
      <w:pPr>
        <w:rPr>
          <w:b/>
          <w:sz w:val="28"/>
          <w:szCs w:val="28"/>
        </w:rPr>
      </w:pPr>
      <w:r w:rsidRPr="00CF6B62">
        <w:rPr>
          <w:b/>
          <w:sz w:val="28"/>
          <w:szCs w:val="28"/>
        </w:rPr>
        <w:t>6.</w:t>
      </w:r>
      <w:r w:rsidRPr="00CF6B62">
        <w:rPr>
          <w:b/>
          <w:sz w:val="28"/>
          <w:szCs w:val="28"/>
        </w:rPr>
        <w:tab/>
        <w:t>Annual Procurement Report</w:t>
      </w:r>
    </w:p>
    <w:p w:rsidR="00B62E29" w:rsidRPr="00B62E29" w:rsidRDefault="00B62E29" w:rsidP="00B62E29">
      <w:r w:rsidRPr="00B62E29">
        <w:t xml:space="preserve">The Procurement Strategy is implemented by </w:t>
      </w:r>
      <w:r w:rsidR="00514663">
        <w:t xml:space="preserve">means </w:t>
      </w:r>
      <w:r w:rsidRPr="00B62E29">
        <w:t>of annual work</w:t>
      </w:r>
      <w:r w:rsidR="000C24EA">
        <w:t xml:space="preserve"> </w:t>
      </w:r>
      <w:r w:rsidRPr="00B62E29">
        <w:t>plans. Progress against the work</w:t>
      </w:r>
      <w:r w:rsidR="000C24EA">
        <w:t xml:space="preserve"> </w:t>
      </w:r>
      <w:r w:rsidRPr="00B62E29">
        <w:t xml:space="preserve">plan is monitored by the Head of Procurement on an ongoing basis, and reported to key stakeholders </w:t>
      </w:r>
      <w:r w:rsidR="004D660B">
        <w:t xml:space="preserve">within the </w:t>
      </w:r>
      <w:r w:rsidR="000C24EA">
        <w:t xml:space="preserve">Board </w:t>
      </w:r>
      <w:r w:rsidRPr="00B62E29">
        <w:t>on a quarterly basis.</w:t>
      </w:r>
    </w:p>
    <w:p w:rsidR="006F69DA" w:rsidRDefault="00144B8C" w:rsidP="00432A1B">
      <w:r>
        <w:t>T</w:t>
      </w:r>
      <w:r w:rsidRPr="00B62E29">
        <w:t>he Procurement Reform (Scotland) Act 2014</w:t>
      </w:r>
      <w:r>
        <w:t xml:space="preserve"> required the Board to publish its initial</w:t>
      </w:r>
      <w:r w:rsidR="00432A1B" w:rsidRPr="00B62E29">
        <w:t xml:space="preserve"> annual report on regulated procurements </w:t>
      </w:r>
      <w:r w:rsidR="000C24EA">
        <w:t>reflecting the period 1</w:t>
      </w:r>
      <w:r w:rsidR="000C24EA" w:rsidRPr="000C24EA">
        <w:rPr>
          <w:vertAlign w:val="superscript"/>
        </w:rPr>
        <w:t>st</w:t>
      </w:r>
      <w:r w:rsidR="000C24EA">
        <w:t xml:space="preserve"> January 2017 to 31</w:t>
      </w:r>
      <w:r w:rsidR="000C24EA" w:rsidRPr="000C24EA">
        <w:rPr>
          <w:vertAlign w:val="superscript"/>
        </w:rPr>
        <w:t>st</w:t>
      </w:r>
      <w:r w:rsidR="000C24EA">
        <w:t xml:space="preserve"> March 2018 within</w:t>
      </w:r>
      <w:r>
        <w:t xml:space="preserve"> a 4 month period </w:t>
      </w:r>
      <w:r w:rsidR="000C24EA">
        <w:t xml:space="preserve">from the </w:t>
      </w:r>
      <w:r>
        <w:t xml:space="preserve">commencement of financial year 2018/19. The Annual Report was published on the Golden Jubilee Foundation Website in July 2018, and </w:t>
      </w:r>
      <w:r w:rsidR="00432A1B" w:rsidRPr="00B62E29">
        <w:t>address</w:t>
      </w:r>
      <w:r>
        <w:t>es</w:t>
      </w:r>
      <w:r w:rsidR="00432A1B" w:rsidRPr="00B62E29">
        <w:t xml:space="preserve"> the requirements of the Procurement Reform (Scotland) Act 2014, and draw</w:t>
      </w:r>
      <w:r>
        <w:t>s</w:t>
      </w:r>
      <w:r w:rsidR="00432A1B" w:rsidRPr="00B62E29">
        <w:t xml:space="preserve"> on </w:t>
      </w:r>
      <w:r w:rsidR="00432A1B">
        <w:t xml:space="preserve">previous </w:t>
      </w:r>
      <w:r w:rsidR="00432A1B" w:rsidRPr="00B62E29">
        <w:t>annual procurement performance reports from 2016/17 and 2017/18.</w:t>
      </w:r>
      <w:r w:rsidR="006F69DA">
        <w:t xml:space="preserve"> </w:t>
      </w:r>
    </w:p>
    <w:p w:rsidR="00432A1B" w:rsidRPr="00B62E29" w:rsidRDefault="00144B8C" w:rsidP="00432A1B">
      <w:r>
        <w:lastRenderedPageBreak/>
        <w:t xml:space="preserve">The </w:t>
      </w:r>
      <w:r w:rsidR="0049594E">
        <w:t>A</w:t>
      </w:r>
      <w:r w:rsidR="00432A1B" w:rsidRPr="00B62E29">
        <w:t xml:space="preserve">nnual </w:t>
      </w:r>
      <w:r w:rsidR="0049594E">
        <w:t>Procurement R</w:t>
      </w:r>
      <w:r>
        <w:t>eport was signed off by the Board a</w:t>
      </w:r>
      <w:r w:rsidR="00036610">
        <w:t xml:space="preserve">nd Audit Committee in June </w:t>
      </w:r>
      <w:r w:rsidR="00EB36D9">
        <w:t xml:space="preserve">2018 </w:t>
      </w:r>
      <w:r w:rsidR="00036610">
        <w:t>and comprised the following information as required by the Procurement Reform (Scotland) Act 2014:</w:t>
      </w:r>
    </w:p>
    <w:p w:rsidR="00432A1B" w:rsidRPr="00B62E29" w:rsidRDefault="00432A1B" w:rsidP="00432A1B">
      <w:pPr>
        <w:pStyle w:val="ListParagraph"/>
        <w:numPr>
          <w:ilvl w:val="0"/>
          <w:numId w:val="4"/>
        </w:numPr>
        <w:rPr>
          <w:rFonts w:cs="Arial"/>
        </w:rPr>
      </w:pPr>
      <w:r w:rsidRPr="00B62E29">
        <w:rPr>
          <w:rFonts w:cs="Arial"/>
        </w:rPr>
        <w:t>A summary of the regulated procurements that have been completed during the period covered by the report.</w:t>
      </w:r>
    </w:p>
    <w:p w:rsidR="00432A1B" w:rsidRPr="00B62E29" w:rsidRDefault="00432A1B" w:rsidP="00432A1B">
      <w:pPr>
        <w:pStyle w:val="ListParagraph"/>
        <w:numPr>
          <w:ilvl w:val="0"/>
          <w:numId w:val="4"/>
        </w:numPr>
        <w:rPr>
          <w:rFonts w:cs="Arial"/>
        </w:rPr>
      </w:pPr>
      <w:r w:rsidRPr="00B62E29">
        <w:rPr>
          <w:rFonts w:cs="Arial"/>
        </w:rPr>
        <w:t>A review of whether those procurements complied with this strategy for regulated procurements.</w:t>
      </w:r>
    </w:p>
    <w:p w:rsidR="00432A1B" w:rsidRPr="00B62E29" w:rsidRDefault="00432A1B" w:rsidP="00432A1B">
      <w:pPr>
        <w:pStyle w:val="ListParagraph"/>
        <w:numPr>
          <w:ilvl w:val="0"/>
          <w:numId w:val="4"/>
        </w:numPr>
        <w:rPr>
          <w:rFonts w:cs="Arial"/>
        </w:rPr>
      </w:pPr>
      <w:r w:rsidRPr="00B62E29">
        <w:rPr>
          <w:rFonts w:cs="Arial"/>
        </w:rPr>
        <w:t>If any regulated procurements did not comply with this strategy for regulated procurements, a statement of how the Service intends to ensure that future regulated procurements do comply.</w:t>
      </w:r>
    </w:p>
    <w:p w:rsidR="00432A1B" w:rsidRPr="00B62E29" w:rsidRDefault="00432A1B" w:rsidP="00432A1B">
      <w:pPr>
        <w:pStyle w:val="ListParagraph"/>
        <w:numPr>
          <w:ilvl w:val="0"/>
          <w:numId w:val="4"/>
        </w:numPr>
        <w:rPr>
          <w:rFonts w:cs="Arial"/>
        </w:rPr>
      </w:pPr>
      <w:r w:rsidRPr="00B62E29">
        <w:rPr>
          <w:rFonts w:cs="Arial"/>
        </w:rPr>
        <w:t>A summary of any community benefit requirements imposed as part of a regulated procurement that were fulfilled during the period covered by the report.</w:t>
      </w:r>
    </w:p>
    <w:p w:rsidR="00432A1B" w:rsidRPr="00B62E29" w:rsidRDefault="00432A1B" w:rsidP="00432A1B">
      <w:pPr>
        <w:pStyle w:val="ListParagraph"/>
        <w:numPr>
          <w:ilvl w:val="0"/>
          <w:numId w:val="4"/>
        </w:numPr>
        <w:rPr>
          <w:rFonts w:cs="Arial"/>
        </w:rPr>
      </w:pPr>
      <w:r w:rsidRPr="00B62E29">
        <w:rPr>
          <w:rFonts w:cs="Arial"/>
        </w:rPr>
        <w:t>A summary of any steps taken to facilitate the involvement of supported businesses in regulated procurements during the period covered by the report.</w:t>
      </w:r>
    </w:p>
    <w:p w:rsidR="00432A1B" w:rsidRDefault="00432A1B" w:rsidP="00C95498">
      <w:pPr>
        <w:pStyle w:val="ListParagraph"/>
        <w:numPr>
          <w:ilvl w:val="0"/>
          <w:numId w:val="4"/>
        </w:numPr>
        <w:rPr>
          <w:rFonts w:cs="Arial"/>
        </w:rPr>
      </w:pPr>
      <w:r w:rsidRPr="00B62E29">
        <w:rPr>
          <w:rFonts w:cs="Arial"/>
        </w:rPr>
        <w:t>A summary of the regulated procurements that the Service expects to commence in the next two financial years.</w:t>
      </w:r>
      <w:r w:rsidRPr="00C95498">
        <w:rPr>
          <w:rFonts w:cs="Arial"/>
        </w:rPr>
        <w:t xml:space="preserve"> </w:t>
      </w:r>
    </w:p>
    <w:p w:rsidR="00EB36D9" w:rsidRPr="00B62E29" w:rsidRDefault="00EB36D9" w:rsidP="00EB36D9">
      <w:pPr>
        <w:pStyle w:val="ListParagraph"/>
        <w:numPr>
          <w:ilvl w:val="0"/>
          <w:numId w:val="4"/>
        </w:numPr>
        <w:rPr>
          <w:rFonts w:cs="Arial"/>
        </w:rPr>
      </w:pPr>
      <w:r>
        <w:rPr>
          <w:rFonts w:cs="Arial"/>
        </w:rPr>
        <w:t>Details on how the procurement service pays due regard to equality and achieve the equality objectives in line with the Equality and Human Rights Commission guidance</w:t>
      </w:r>
    </w:p>
    <w:p w:rsidR="00EB36D9" w:rsidRPr="00C95498" w:rsidRDefault="00EB36D9" w:rsidP="00895AD4">
      <w:pPr>
        <w:pStyle w:val="ListParagraph"/>
        <w:ind w:left="750"/>
        <w:rPr>
          <w:rFonts w:cs="Arial"/>
        </w:rPr>
      </w:pPr>
    </w:p>
    <w:p w:rsidR="00395870" w:rsidRPr="00CF6B62" w:rsidRDefault="00395870" w:rsidP="00395870">
      <w:pPr>
        <w:rPr>
          <w:b/>
          <w:sz w:val="28"/>
          <w:szCs w:val="28"/>
        </w:rPr>
      </w:pPr>
      <w:r w:rsidRPr="00CF6B62">
        <w:rPr>
          <w:b/>
          <w:sz w:val="28"/>
          <w:szCs w:val="28"/>
        </w:rPr>
        <w:t>7.</w:t>
      </w:r>
      <w:r w:rsidRPr="00CF6B62">
        <w:rPr>
          <w:b/>
          <w:sz w:val="28"/>
          <w:szCs w:val="28"/>
        </w:rPr>
        <w:tab/>
        <w:t>Strategy ownership and contact details</w:t>
      </w:r>
    </w:p>
    <w:p w:rsidR="00B449D8" w:rsidRDefault="00432A1B" w:rsidP="00F31DA2">
      <w:r>
        <w:t>The owner of this Strategy on behalf o</w:t>
      </w:r>
      <w:r w:rsidR="00036610">
        <w:t>f the Golden Jubilee Foundation</w:t>
      </w:r>
      <w:r>
        <w:t xml:space="preserve"> </w:t>
      </w:r>
      <w:r w:rsidR="00B449D8">
        <w:t xml:space="preserve">is </w:t>
      </w:r>
      <w:r w:rsidR="003D19A5">
        <w:t xml:space="preserve">the </w:t>
      </w:r>
      <w:r w:rsidR="00B449D8">
        <w:t>Head of Procurement. The Strategy covers the period 1</w:t>
      </w:r>
      <w:r w:rsidR="00B449D8" w:rsidRPr="00B449D8">
        <w:rPr>
          <w:vertAlign w:val="superscript"/>
        </w:rPr>
        <w:t>st</w:t>
      </w:r>
      <w:r w:rsidR="00036610">
        <w:t xml:space="preserve"> September</w:t>
      </w:r>
      <w:r w:rsidR="00B449D8">
        <w:t xml:space="preserve"> 2018 – 31</w:t>
      </w:r>
      <w:r w:rsidR="00B449D8" w:rsidRPr="00B449D8">
        <w:rPr>
          <w:vertAlign w:val="superscript"/>
        </w:rPr>
        <w:t>st</w:t>
      </w:r>
      <w:r w:rsidR="00B449D8">
        <w:t xml:space="preserve"> March 2021 and will be reviewed at least once a year. </w:t>
      </w:r>
    </w:p>
    <w:p w:rsidR="00FD46E9" w:rsidRDefault="00B449D8" w:rsidP="00F31DA2">
      <w:r>
        <w:t xml:space="preserve">The Strategy will </w:t>
      </w:r>
      <w:r w:rsidR="00036610">
        <w:t xml:space="preserve">be published on the Golden Jubilee Foundation’s website. </w:t>
      </w:r>
      <w:r>
        <w:t xml:space="preserve">Any amendments to this Strategy will be similarly published. </w:t>
      </w:r>
    </w:p>
    <w:p w:rsidR="00B449D8" w:rsidRDefault="00B449D8" w:rsidP="00B449D8">
      <w:pPr>
        <w:spacing w:after="0"/>
      </w:pPr>
      <w:r>
        <w:t xml:space="preserve">Head of Procurement </w:t>
      </w:r>
    </w:p>
    <w:p w:rsidR="00B449D8" w:rsidRDefault="00036610" w:rsidP="00B449D8">
      <w:pPr>
        <w:spacing w:after="0"/>
      </w:pPr>
      <w:r>
        <w:t>The Golden Jubilee Foundation</w:t>
      </w:r>
    </w:p>
    <w:p w:rsidR="00B449D8" w:rsidRDefault="00036610" w:rsidP="00B449D8">
      <w:pPr>
        <w:spacing w:after="0"/>
      </w:pPr>
      <w:r>
        <w:t>Agamemnon St</w:t>
      </w:r>
    </w:p>
    <w:p w:rsidR="00B449D8" w:rsidRDefault="00036610" w:rsidP="00B449D8">
      <w:pPr>
        <w:spacing w:after="0"/>
      </w:pPr>
      <w:r>
        <w:t>Clydebank</w:t>
      </w:r>
    </w:p>
    <w:p w:rsidR="00036610" w:rsidRDefault="00036610" w:rsidP="00B449D8">
      <w:pPr>
        <w:spacing w:after="0"/>
      </w:pPr>
      <w:r>
        <w:t>West Dunbartonshire</w:t>
      </w:r>
    </w:p>
    <w:p w:rsidR="00B449D8" w:rsidRDefault="00036610" w:rsidP="00B449D8">
      <w:pPr>
        <w:spacing w:after="0"/>
      </w:pPr>
      <w:r>
        <w:t>G81 4DY</w:t>
      </w:r>
    </w:p>
    <w:p w:rsidR="00B449D8" w:rsidRDefault="00B449D8" w:rsidP="00B449D8">
      <w:pPr>
        <w:spacing w:after="0"/>
      </w:pPr>
    </w:p>
    <w:p w:rsidR="00036610" w:rsidRPr="00312779" w:rsidRDefault="00B449D8" w:rsidP="00895AD4">
      <w:pPr>
        <w:spacing w:after="0"/>
      </w:pPr>
      <w:r>
        <w:t xml:space="preserve">Email: </w:t>
      </w:r>
      <w:hyperlink r:id="rId8" w:history="1">
        <w:r w:rsidR="00036610" w:rsidRPr="001022AD">
          <w:rPr>
            <w:rStyle w:val="Hyperlink"/>
            <w:rFonts w:ascii="Cambria" w:hAnsi="Cambria"/>
          </w:rPr>
          <w:t>Brian.Laughland@gjnh.scot.nhs.uk</w:t>
        </w:r>
      </w:hyperlink>
    </w:p>
    <w:sectPr w:rsidR="00036610" w:rsidRPr="00312779" w:rsidSect="00451960">
      <w:headerReference w:type="default" r:id="rId9"/>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ADF555A" w15:done="0"/>
  <w15:commentEx w15:paraId="04DA24E2" w15:done="0"/>
  <w15:commentEx w15:paraId="3FC594A5" w15:done="0"/>
  <w15:commentEx w15:paraId="19E44DAB" w15:done="0"/>
  <w15:commentEx w15:paraId="668456C9" w15:done="0"/>
  <w15:commentEx w15:paraId="7E0249A9" w15:done="0"/>
  <w15:commentEx w15:paraId="38D0E72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68F4" w:rsidRDefault="00D068F4" w:rsidP="0017605C">
      <w:pPr>
        <w:spacing w:after="0" w:line="240" w:lineRule="auto"/>
      </w:pPr>
      <w:r>
        <w:separator/>
      </w:r>
    </w:p>
  </w:endnote>
  <w:endnote w:type="continuationSeparator" w:id="0">
    <w:p w:rsidR="00D068F4" w:rsidRDefault="00D068F4" w:rsidP="001760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68F4" w:rsidRDefault="00D068F4" w:rsidP="0017605C">
      <w:pPr>
        <w:spacing w:after="0" w:line="240" w:lineRule="auto"/>
      </w:pPr>
      <w:r>
        <w:separator/>
      </w:r>
    </w:p>
  </w:footnote>
  <w:footnote w:type="continuationSeparator" w:id="0">
    <w:p w:rsidR="00D068F4" w:rsidRDefault="00D068F4" w:rsidP="001760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911" w:rsidRDefault="0096459E" w:rsidP="0017605C">
    <w:pPr>
      <w:pStyle w:val="Footer"/>
      <w:tabs>
        <w:tab w:val="left" w:pos="5280"/>
      </w:tabs>
    </w:pPr>
    <w:r>
      <w:rPr>
        <w:noProof/>
        <w:lang w:eastAsia="en-GB"/>
      </w:rPr>
      <w:pict>
        <v:shapetype id="_x0000_t202" coordsize="21600,21600" o:spt="202" path="m,l,21600r21600,l21600,xe">
          <v:stroke joinstyle="miter"/>
          <v:path gradientshapeok="t" o:connecttype="rect"/>
        </v:shapetype>
        <v:shape id="_x0000_s2049" type="#_x0000_t202" style="position:absolute;margin-left:311.2pt;margin-top:3.55pt;width:192.75pt;height:55.5pt;z-index:251660288;mso-width-percent:400;mso-height-percent:200;mso-width-percent:400;mso-height-percent:200;mso-width-relative:margin;mso-height-relative:margin" stroked="f">
          <v:textbox style="mso-fit-shape-to-text:t">
            <w:txbxContent>
              <w:p w:rsidR="00BF5911" w:rsidRPr="002D401A" w:rsidRDefault="00BF5911" w:rsidP="0017605C">
                <w:pPr>
                  <w:pStyle w:val="Footer"/>
                  <w:jc w:val="right"/>
                  <w:rPr>
                    <w:sz w:val="20"/>
                    <w:szCs w:val="20"/>
                  </w:rPr>
                </w:pPr>
                <w:r>
                  <w:rPr>
                    <w:sz w:val="20"/>
                    <w:szCs w:val="20"/>
                  </w:rPr>
                  <w:t>Document No 2018PS</w:t>
                </w:r>
                <w:r w:rsidRPr="002D401A">
                  <w:rPr>
                    <w:sz w:val="20"/>
                    <w:szCs w:val="20"/>
                  </w:rPr>
                  <w:t xml:space="preserve">001       </w:t>
                </w:r>
              </w:p>
              <w:p w:rsidR="00BF5911" w:rsidRPr="002D401A" w:rsidRDefault="00BF5911" w:rsidP="0017605C">
                <w:pPr>
                  <w:pStyle w:val="Footer"/>
                  <w:jc w:val="right"/>
                  <w:rPr>
                    <w:sz w:val="20"/>
                    <w:szCs w:val="20"/>
                  </w:rPr>
                </w:pPr>
                <w:r>
                  <w:rPr>
                    <w:sz w:val="20"/>
                    <w:szCs w:val="20"/>
                  </w:rPr>
                  <w:t>Revision</w:t>
                </w:r>
                <w:r w:rsidRPr="002D401A">
                  <w:rPr>
                    <w:sz w:val="20"/>
                    <w:szCs w:val="20"/>
                  </w:rPr>
                  <w:t xml:space="preserve"> 1.0</w:t>
                </w:r>
              </w:p>
              <w:p w:rsidR="00BF5911" w:rsidRPr="002D401A" w:rsidRDefault="00BF5911" w:rsidP="0017605C">
                <w:pPr>
                  <w:pStyle w:val="Footer"/>
                  <w:jc w:val="right"/>
                  <w:rPr>
                    <w:sz w:val="20"/>
                    <w:szCs w:val="20"/>
                  </w:rPr>
                </w:pPr>
                <w:r>
                  <w:rPr>
                    <w:sz w:val="20"/>
                    <w:szCs w:val="20"/>
                  </w:rPr>
                  <w:t>Issued August</w:t>
                </w:r>
                <w:r w:rsidRPr="002D401A">
                  <w:rPr>
                    <w:sz w:val="20"/>
                    <w:szCs w:val="20"/>
                  </w:rPr>
                  <w:t xml:space="preserve"> 2018</w:t>
                </w:r>
              </w:p>
              <w:p w:rsidR="00BF5911" w:rsidRDefault="00BF5911" w:rsidP="0017605C"/>
            </w:txbxContent>
          </v:textbox>
        </v:shape>
      </w:pict>
    </w:r>
    <w:r w:rsidR="00BF5911">
      <w:rPr>
        <w:noProof/>
        <w:lang w:eastAsia="en-GB"/>
      </w:rPr>
      <w:drawing>
        <wp:inline distT="0" distB="0" distL="0" distR="0">
          <wp:extent cx="800100" cy="847725"/>
          <wp:effectExtent l="19050" t="0" r="0" b="0"/>
          <wp:docPr id="10" name="Picture 10" descr="http://jubileestaffnet/files/1014/3945/6658/Golden_Jubilee_Foundation_without_strap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jubileestaffnet/files/1014/3945/6658/Golden_Jubilee_Foundation_without_strapline.png"/>
                  <pic:cNvPicPr>
                    <a:picLocks noChangeAspect="1" noChangeArrowheads="1"/>
                  </pic:cNvPicPr>
                </pic:nvPicPr>
                <pic:blipFill>
                  <a:blip r:embed="rId1"/>
                  <a:srcRect/>
                  <a:stretch>
                    <a:fillRect/>
                  </a:stretch>
                </pic:blipFill>
                <pic:spPr bwMode="auto">
                  <a:xfrm>
                    <a:off x="0" y="0"/>
                    <a:ext cx="800100" cy="847725"/>
                  </a:xfrm>
                  <a:prstGeom prst="rect">
                    <a:avLst/>
                  </a:prstGeom>
                  <a:noFill/>
                  <a:ln w="9525">
                    <a:noFill/>
                    <a:miter lim="800000"/>
                    <a:headEnd/>
                    <a:tailEnd/>
                  </a:ln>
                </pic:spPr>
              </pic:pic>
            </a:graphicData>
          </a:graphic>
        </wp:inline>
      </w:drawing>
    </w:r>
    <w:r w:rsidR="00BF5911">
      <w:t xml:space="preserve">   </w:t>
    </w:r>
    <w:r w:rsidR="00BF5911">
      <w:tab/>
    </w:r>
    <w:r w:rsidR="00BF5911">
      <w:tab/>
    </w:r>
    <w:r w:rsidR="00BF5911">
      <w:tab/>
    </w:r>
  </w:p>
  <w:p w:rsidR="00BF5911" w:rsidRDefault="00BF591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519A5"/>
    <w:multiLevelType w:val="hybridMultilevel"/>
    <w:tmpl w:val="B60A1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4393423"/>
    <w:multiLevelType w:val="hybridMultilevel"/>
    <w:tmpl w:val="AD3A4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C4A2253"/>
    <w:multiLevelType w:val="hybridMultilevel"/>
    <w:tmpl w:val="DF02E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77F0EA7"/>
    <w:multiLevelType w:val="multilevel"/>
    <w:tmpl w:val="B96E3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C05280"/>
    <w:multiLevelType w:val="hybridMultilevel"/>
    <w:tmpl w:val="4C50F1F6"/>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5">
    <w:nsid w:val="4AFE3733"/>
    <w:multiLevelType w:val="hybridMultilevel"/>
    <w:tmpl w:val="B30A03C4"/>
    <w:lvl w:ilvl="0" w:tplc="08090005">
      <w:start w:val="1"/>
      <w:numFmt w:val="bullet"/>
      <w:lvlText w:val=""/>
      <w:lvlJc w:val="left"/>
      <w:pPr>
        <w:ind w:left="2190" w:hanging="360"/>
      </w:pPr>
      <w:rPr>
        <w:rFonts w:ascii="Wingdings" w:hAnsi="Wingdings" w:hint="default"/>
      </w:rPr>
    </w:lvl>
    <w:lvl w:ilvl="1" w:tplc="08090003" w:tentative="1">
      <w:start w:val="1"/>
      <w:numFmt w:val="bullet"/>
      <w:lvlText w:val="o"/>
      <w:lvlJc w:val="left"/>
      <w:pPr>
        <w:ind w:left="2910" w:hanging="360"/>
      </w:pPr>
      <w:rPr>
        <w:rFonts w:ascii="Courier New" w:hAnsi="Courier New" w:cs="Courier New" w:hint="default"/>
      </w:rPr>
    </w:lvl>
    <w:lvl w:ilvl="2" w:tplc="08090005" w:tentative="1">
      <w:start w:val="1"/>
      <w:numFmt w:val="bullet"/>
      <w:lvlText w:val=""/>
      <w:lvlJc w:val="left"/>
      <w:pPr>
        <w:ind w:left="3630" w:hanging="360"/>
      </w:pPr>
      <w:rPr>
        <w:rFonts w:ascii="Wingdings" w:hAnsi="Wingdings" w:hint="default"/>
      </w:rPr>
    </w:lvl>
    <w:lvl w:ilvl="3" w:tplc="08090001" w:tentative="1">
      <w:start w:val="1"/>
      <w:numFmt w:val="bullet"/>
      <w:lvlText w:val=""/>
      <w:lvlJc w:val="left"/>
      <w:pPr>
        <w:ind w:left="4350" w:hanging="360"/>
      </w:pPr>
      <w:rPr>
        <w:rFonts w:ascii="Symbol" w:hAnsi="Symbol" w:hint="default"/>
      </w:rPr>
    </w:lvl>
    <w:lvl w:ilvl="4" w:tplc="08090003" w:tentative="1">
      <w:start w:val="1"/>
      <w:numFmt w:val="bullet"/>
      <w:lvlText w:val="o"/>
      <w:lvlJc w:val="left"/>
      <w:pPr>
        <w:ind w:left="5070" w:hanging="360"/>
      </w:pPr>
      <w:rPr>
        <w:rFonts w:ascii="Courier New" w:hAnsi="Courier New" w:cs="Courier New" w:hint="default"/>
      </w:rPr>
    </w:lvl>
    <w:lvl w:ilvl="5" w:tplc="08090005" w:tentative="1">
      <w:start w:val="1"/>
      <w:numFmt w:val="bullet"/>
      <w:lvlText w:val=""/>
      <w:lvlJc w:val="left"/>
      <w:pPr>
        <w:ind w:left="5790" w:hanging="360"/>
      </w:pPr>
      <w:rPr>
        <w:rFonts w:ascii="Wingdings" w:hAnsi="Wingdings" w:hint="default"/>
      </w:rPr>
    </w:lvl>
    <w:lvl w:ilvl="6" w:tplc="08090001" w:tentative="1">
      <w:start w:val="1"/>
      <w:numFmt w:val="bullet"/>
      <w:lvlText w:val=""/>
      <w:lvlJc w:val="left"/>
      <w:pPr>
        <w:ind w:left="6510" w:hanging="360"/>
      </w:pPr>
      <w:rPr>
        <w:rFonts w:ascii="Symbol" w:hAnsi="Symbol" w:hint="default"/>
      </w:rPr>
    </w:lvl>
    <w:lvl w:ilvl="7" w:tplc="08090003" w:tentative="1">
      <w:start w:val="1"/>
      <w:numFmt w:val="bullet"/>
      <w:lvlText w:val="o"/>
      <w:lvlJc w:val="left"/>
      <w:pPr>
        <w:ind w:left="7230" w:hanging="360"/>
      </w:pPr>
      <w:rPr>
        <w:rFonts w:ascii="Courier New" w:hAnsi="Courier New" w:cs="Courier New" w:hint="default"/>
      </w:rPr>
    </w:lvl>
    <w:lvl w:ilvl="8" w:tplc="08090005" w:tentative="1">
      <w:start w:val="1"/>
      <w:numFmt w:val="bullet"/>
      <w:lvlText w:val=""/>
      <w:lvlJc w:val="left"/>
      <w:pPr>
        <w:ind w:left="7950" w:hanging="360"/>
      </w:pPr>
      <w:rPr>
        <w:rFonts w:ascii="Wingdings" w:hAnsi="Wingdings" w:hint="default"/>
      </w:rPr>
    </w:lvl>
  </w:abstractNum>
  <w:abstractNum w:abstractNumId="6">
    <w:nsid w:val="4E334B92"/>
    <w:multiLevelType w:val="hybridMultilevel"/>
    <w:tmpl w:val="7D269EC2"/>
    <w:lvl w:ilvl="0" w:tplc="CE726656">
      <w:start w:val="1"/>
      <w:numFmt w:val="lowerLetter"/>
      <w:lvlText w:val="(%1)"/>
      <w:lvlJc w:val="left"/>
      <w:pPr>
        <w:ind w:left="2446" w:hanging="360"/>
      </w:pPr>
      <w:rPr>
        <w:rFonts w:hint="default"/>
      </w:rPr>
    </w:lvl>
    <w:lvl w:ilvl="1" w:tplc="08090019" w:tentative="1">
      <w:start w:val="1"/>
      <w:numFmt w:val="lowerLetter"/>
      <w:lvlText w:val="%2."/>
      <w:lvlJc w:val="left"/>
      <w:pPr>
        <w:ind w:left="3166" w:hanging="360"/>
      </w:pPr>
    </w:lvl>
    <w:lvl w:ilvl="2" w:tplc="0809001B" w:tentative="1">
      <w:start w:val="1"/>
      <w:numFmt w:val="lowerRoman"/>
      <w:lvlText w:val="%3."/>
      <w:lvlJc w:val="right"/>
      <w:pPr>
        <w:ind w:left="3886" w:hanging="180"/>
      </w:pPr>
    </w:lvl>
    <w:lvl w:ilvl="3" w:tplc="0809000F" w:tentative="1">
      <w:start w:val="1"/>
      <w:numFmt w:val="decimal"/>
      <w:lvlText w:val="%4."/>
      <w:lvlJc w:val="left"/>
      <w:pPr>
        <w:ind w:left="4606" w:hanging="360"/>
      </w:pPr>
    </w:lvl>
    <w:lvl w:ilvl="4" w:tplc="08090019" w:tentative="1">
      <w:start w:val="1"/>
      <w:numFmt w:val="lowerLetter"/>
      <w:lvlText w:val="%5."/>
      <w:lvlJc w:val="left"/>
      <w:pPr>
        <w:ind w:left="5326" w:hanging="360"/>
      </w:pPr>
    </w:lvl>
    <w:lvl w:ilvl="5" w:tplc="0809001B" w:tentative="1">
      <w:start w:val="1"/>
      <w:numFmt w:val="lowerRoman"/>
      <w:lvlText w:val="%6."/>
      <w:lvlJc w:val="right"/>
      <w:pPr>
        <w:ind w:left="6046" w:hanging="180"/>
      </w:pPr>
    </w:lvl>
    <w:lvl w:ilvl="6" w:tplc="0809000F" w:tentative="1">
      <w:start w:val="1"/>
      <w:numFmt w:val="decimal"/>
      <w:lvlText w:val="%7."/>
      <w:lvlJc w:val="left"/>
      <w:pPr>
        <w:ind w:left="6766" w:hanging="360"/>
      </w:pPr>
    </w:lvl>
    <w:lvl w:ilvl="7" w:tplc="08090019" w:tentative="1">
      <w:start w:val="1"/>
      <w:numFmt w:val="lowerLetter"/>
      <w:lvlText w:val="%8."/>
      <w:lvlJc w:val="left"/>
      <w:pPr>
        <w:ind w:left="7486" w:hanging="360"/>
      </w:pPr>
    </w:lvl>
    <w:lvl w:ilvl="8" w:tplc="0809001B" w:tentative="1">
      <w:start w:val="1"/>
      <w:numFmt w:val="lowerRoman"/>
      <w:lvlText w:val="%9."/>
      <w:lvlJc w:val="right"/>
      <w:pPr>
        <w:ind w:left="8206" w:hanging="180"/>
      </w:pPr>
    </w:lvl>
  </w:abstractNum>
  <w:abstractNum w:abstractNumId="7">
    <w:nsid w:val="51FA3315"/>
    <w:multiLevelType w:val="hybridMultilevel"/>
    <w:tmpl w:val="C046B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BE07BD5"/>
    <w:multiLevelType w:val="hybridMultilevel"/>
    <w:tmpl w:val="78143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4"/>
  </w:num>
  <w:num w:numId="5">
    <w:abstractNumId w:val="8"/>
  </w:num>
  <w:num w:numId="6">
    <w:abstractNumId w:val="1"/>
  </w:num>
  <w:num w:numId="7">
    <w:abstractNumId w:val="5"/>
  </w:num>
  <w:num w:numId="8">
    <w:abstractNumId w:val="3"/>
  </w:num>
  <w:num w:numId="9">
    <w:abstractNumId w:val="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1022466 - John Baker">
    <w15:presenceInfo w15:providerId="AD" w15:userId="S-1-5-21-1060284298-1292428093-1801674531-6463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312779"/>
    <w:rsid w:val="000316DD"/>
    <w:rsid w:val="00036610"/>
    <w:rsid w:val="000425C2"/>
    <w:rsid w:val="00086AFE"/>
    <w:rsid w:val="000A11CA"/>
    <w:rsid w:val="000C24EA"/>
    <w:rsid w:val="00115C86"/>
    <w:rsid w:val="00120100"/>
    <w:rsid w:val="00142FA2"/>
    <w:rsid w:val="00144B8C"/>
    <w:rsid w:val="00146F28"/>
    <w:rsid w:val="0017605C"/>
    <w:rsid w:val="0019600B"/>
    <w:rsid w:val="00206015"/>
    <w:rsid w:val="00234F6F"/>
    <w:rsid w:val="00256BC9"/>
    <w:rsid w:val="00264C5B"/>
    <w:rsid w:val="002B6506"/>
    <w:rsid w:val="002B79DA"/>
    <w:rsid w:val="002D5E4B"/>
    <w:rsid w:val="002E38DA"/>
    <w:rsid w:val="002F5017"/>
    <w:rsid w:val="00304565"/>
    <w:rsid w:val="00312779"/>
    <w:rsid w:val="00316AA1"/>
    <w:rsid w:val="00326C10"/>
    <w:rsid w:val="00344FA6"/>
    <w:rsid w:val="00395870"/>
    <w:rsid w:val="003D19A5"/>
    <w:rsid w:val="003D4072"/>
    <w:rsid w:val="003E74D7"/>
    <w:rsid w:val="004073B7"/>
    <w:rsid w:val="0041532A"/>
    <w:rsid w:val="00415F37"/>
    <w:rsid w:val="00432A1B"/>
    <w:rsid w:val="0043532D"/>
    <w:rsid w:val="00451960"/>
    <w:rsid w:val="004617EC"/>
    <w:rsid w:val="00473B54"/>
    <w:rsid w:val="0049594E"/>
    <w:rsid w:val="004D660B"/>
    <w:rsid w:val="004D68E2"/>
    <w:rsid w:val="004E06BC"/>
    <w:rsid w:val="004E1D9B"/>
    <w:rsid w:val="004F64FE"/>
    <w:rsid w:val="00500F1A"/>
    <w:rsid w:val="0051240E"/>
    <w:rsid w:val="005128BE"/>
    <w:rsid w:val="00514663"/>
    <w:rsid w:val="00514CC1"/>
    <w:rsid w:val="00515CBA"/>
    <w:rsid w:val="0058219B"/>
    <w:rsid w:val="00585481"/>
    <w:rsid w:val="00596A3A"/>
    <w:rsid w:val="005D423F"/>
    <w:rsid w:val="0060219B"/>
    <w:rsid w:val="006540BA"/>
    <w:rsid w:val="0065419D"/>
    <w:rsid w:val="006766F3"/>
    <w:rsid w:val="00690FBA"/>
    <w:rsid w:val="006E1574"/>
    <w:rsid w:val="006F3004"/>
    <w:rsid w:val="006F69DA"/>
    <w:rsid w:val="0072574A"/>
    <w:rsid w:val="007B0C33"/>
    <w:rsid w:val="007B247E"/>
    <w:rsid w:val="007E099B"/>
    <w:rsid w:val="007E4709"/>
    <w:rsid w:val="007F55E4"/>
    <w:rsid w:val="008319D0"/>
    <w:rsid w:val="00857A87"/>
    <w:rsid w:val="00874F1F"/>
    <w:rsid w:val="00885EE4"/>
    <w:rsid w:val="00895AD4"/>
    <w:rsid w:val="008B0DEE"/>
    <w:rsid w:val="008B0FCB"/>
    <w:rsid w:val="008D5348"/>
    <w:rsid w:val="009337E0"/>
    <w:rsid w:val="009403BE"/>
    <w:rsid w:val="00943CC7"/>
    <w:rsid w:val="009442AE"/>
    <w:rsid w:val="0096459E"/>
    <w:rsid w:val="0097351C"/>
    <w:rsid w:val="00974E4B"/>
    <w:rsid w:val="009B0830"/>
    <w:rsid w:val="009B178B"/>
    <w:rsid w:val="009C0203"/>
    <w:rsid w:val="00A92F56"/>
    <w:rsid w:val="00AA1DFE"/>
    <w:rsid w:val="00AB1ECF"/>
    <w:rsid w:val="00AD0B5A"/>
    <w:rsid w:val="00B034E1"/>
    <w:rsid w:val="00B03625"/>
    <w:rsid w:val="00B079B9"/>
    <w:rsid w:val="00B449D8"/>
    <w:rsid w:val="00B44F3F"/>
    <w:rsid w:val="00B62E29"/>
    <w:rsid w:val="00B906F4"/>
    <w:rsid w:val="00BA0937"/>
    <w:rsid w:val="00BF4CC2"/>
    <w:rsid w:val="00BF5911"/>
    <w:rsid w:val="00C444DF"/>
    <w:rsid w:val="00C74334"/>
    <w:rsid w:val="00C95498"/>
    <w:rsid w:val="00CA1239"/>
    <w:rsid w:val="00CB1C6E"/>
    <w:rsid w:val="00CE2F0F"/>
    <w:rsid w:val="00CF571C"/>
    <w:rsid w:val="00CF6B62"/>
    <w:rsid w:val="00D01929"/>
    <w:rsid w:val="00D068F4"/>
    <w:rsid w:val="00DA23DD"/>
    <w:rsid w:val="00DD4BC6"/>
    <w:rsid w:val="00DF65BD"/>
    <w:rsid w:val="00E1132F"/>
    <w:rsid w:val="00E23780"/>
    <w:rsid w:val="00E35F5F"/>
    <w:rsid w:val="00E420F7"/>
    <w:rsid w:val="00E60647"/>
    <w:rsid w:val="00E94A10"/>
    <w:rsid w:val="00EA7A9E"/>
    <w:rsid w:val="00EB36D9"/>
    <w:rsid w:val="00EB5F5F"/>
    <w:rsid w:val="00ED7168"/>
    <w:rsid w:val="00EF3461"/>
    <w:rsid w:val="00EF587C"/>
    <w:rsid w:val="00F07BE0"/>
    <w:rsid w:val="00F31DA2"/>
    <w:rsid w:val="00F81CF7"/>
    <w:rsid w:val="00F939BC"/>
    <w:rsid w:val="00FB2F8E"/>
    <w:rsid w:val="00FB7227"/>
    <w:rsid w:val="00FD17D1"/>
    <w:rsid w:val="00FD46E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9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2779"/>
    <w:pPr>
      <w:ind w:left="720"/>
      <w:contextualSpacing/>
    </w:pPr>
  </w:style>
  <w:style w:type="paragraph" w:styleId="BalloonText">
    <w:name w:val="Balloon Text"/>
    <w:basedOn w:val="Normal"/>
    <w:link w:val="BalloonTextChar"/>
    <w:uiPriority w:val="99"/>
    <w:semiHidden/>
    <w:unhideWhenUsed/>
    <w:rsid w:val="003045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4565"/>
    <w:rPr>
      <w:rFonts w:ascii="Tahoma" w:hAnsi="Tahoma" w:cs="Tahoma"/>
      <w:sz w:val="16"/>
      <w:szCs w:val="16"/>
    </w:rPr>
  </w:style>
  <w:style w:type="table" w:styleId="TableGrid">
    <w:name w:val="Table Grid"/>
    <w:basedOn w:val="TableNormal"/>
    <w:uiPriority w:val="59"/>
    <w:rsid w:val="00CA12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906F4"/>
    <w:rPr>
      <w:color w:val="0000FF"/>
      <w:u w:val="single"/>
    </w:rPr>
  </w:style>
  <w:style w:type="character" w:styleId="CommentReference">
    <w:name w:val="annotation reference"/>
    <w:basedOn w:val="DefaultParagraphFont"/>
    <w:uiPriority w:val="99"/>
    <w:semiHidden/>
    <w:unhideWhenUsed/>
    <w:rsid w:val="002F5017"/>
    <w:rPr>
      <w:sz w:val="16"/>
      <w:szCs w:val="16"/>
    </w:rPr>
  </w:style>
  <w:style w:type="paragraph" w:styleId="CommentText">
    <w:name w:val="annotation text"/>
    <w:basedOn w:val="Normal"/>
    <w:link w:val="CommentTextChar"/>
    <w:uiPriority w:val="99"/>
    <w:semiHidden/>
    <w:unhideWhenUsed/>
    <w:rsid w:val="002F5017"/>
    <w:pPr>
      <w:spacing w:line="240" w:lineRule="auto"/>
    </w:pPr>
    <w:rPr>
      <w:sz w:val="20"/>
      <w:szCs w:val="20"/>
    </w:rPr>
  </w:style>
  <w:style w:type="character" w:customStyle="1" w:styleId="CommentTextChar">
    <w:name w:val="Comment Text Char"/>
    <w:basedOn w:val="DefaultParagraphFont"/>
    <w:link w:val="CommentText"/>
    <w:uiPriority w:val="99"/>
    <w:semiHidden/>
    <w:rsid w:val="002F5017"/>
    <w:rPr>
      <w:sz w:val="20"/>
      <w:szCs w:val="20"/>
    </w:rPr>
  </w:style>
  <w:style w:type="paragraph" w:styleId="CommentSubject">
    <w:name w:val="annotation subject"/>
    <w:basedOn w:val="CommentText"/>
    <w:next w:val="CommentText"/>
    <w:link w:val="CommentSubjectChar"/>
    <w:uiPriority w:val="99"/>
    <w:semiHidden/>
    <w:unhideWhenUsed/>
    <w:rsid w:val="002F5017"/>
    <w:rPr>
      <w:b/>
      <w:bCs/>
    </w:rPr>
  </w:style>
  <w:style w:type="character" w:customStyle="1" w:styleId="CommentSubjectChar">
    <w:name w:val="Comment Subject Char"/>
    <w:basedOn w:val="CommentTextChar"/>
    <w:link w:val="CommentSubject"/>
    <w:uiPriority w:val="99"/>
    <w:semiHidden/>
    <w:rsid w:val="002F5017"/>
    <w:rPr>
      <w:b/>
      <w:bCs/>
      <w:sz w:val="20"/>
      <w:szCs w:val="20"/>
    </w:rPr>
  </w:style>
  <w:style w:type="paragraph" w:styleId="Header">
    <w:name w:val="header"/>
    <w:basedOn w:val="Normal"/>
    <w:link w:val="HeaderChar"/>
    <w:uiPriority w:val="99"/>
    <w:semiHidden/>
    <w:unhideWhenUsed/>
    <w:rsid w:val="0017605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7605C"/>
  </w:style>
  <w:style w:type="paragraph" w:styleId="Footer">
    <w:name w:val="footer"/>
    <w:basedOn w:val="Normal"/>
    <w:link w:val="FooterChar"/>
    <w:uiPriority w:val="99"/>
    <w:unhideWhenUsed/>
    <w:rsid w:val="001760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605C"/>
  </w:style>
</w:styles>
</file>

<file path=word/webSettings.xml><?xml version="1.0" encoding="utf-8"?>
<w:webSettings xmlns:r="http://schemas.openxmlformats.org/officeDocument/2006/relationships" xmlns:w="http://schemas.openxmlformats.org/wordprocessingml/2006/main">
  <w:divs>
    <w:div w:id="689066732">
      <w:bodyDiv w:val="1"/>
      <w:marLeft w:val="0"/>
      <w:marRight w:val="0"/>
      <w:marTop w:val="0"/>
      <w:marBottom w:val="0"/>
      <w:divBdr>
        <w:top w:val="none" w:sz="0" w:space="0" w:color="auto"/>
        <w:left w:val="none" w:sz="0" w:space="0" w:color="auto"/>
        <w:bottom w:val="none" w:sz="0" w:space="0" w:color="auto"/>
        <w:right w:val="none" w:sz="0" w:space="0" w:color="auto"/>
      </w:divBdr>
      <w:divsChild>
        <w:div w:id="1203863055">
          <w:marLeft w:val="0"/>
          <w:marRight w:val="0"/>
          <w:marTop w:val="0"/>
          <w:marBottom w:val="0"/>
          <w:divBdr>
            <w:top w:val="none" w:sz="0" w:space="0" w:color="auto"/>
            <w:left w:val="none" w:sz="0" w:space="0" w:color="auto"/>
            <w:bottom w:val="none" w:sz="0" w:space="0" w:color="auto"/>
            <w:right w:val="none" w:sz="0" w:space="0" w:color="auto"/>
          </w:divBdr>
          <w:divsChild>
            <w:div w:id="1887791487">
              <w:marLeft w:val="0"/>
              <w:marRight w:val="0"/>
              <w:marTop w:val="0"/>
              <w:marBottom w:val="0"/>
              <w:divBdr>
                <w:top w:val="none" w:sz="0" w:space="0" w:color="auto"/>
                <w:left w:val="none" w:sz="0" w:space="0" w:color="auto"/>
                <w:bottom w:val="none" w:sz="0" w:space="0" w:color="auto"/>
                <w:right w:val="none" w:sz="0" w:space="0" w:color="auto"/>
              </w:divBdr>
              <w:divsChild>
                <w:div w:id="476842571">
                  <w:marLeft w:val="0"/>
                  <w:marRight w:val="0"/>
                  <w:marTop w:val="0"/>
                  <w:marBottom w:val="0"/>
                  <w:divBdr>
                    <w:top w:val="none" w:sz="0" w:space="0" w:color="auto"/>
                    <w:left w:val="none" w:sz="0" w:space="0" w:color="auto"/>
                    <w:bottom w:val="none" w:sz="0" w:space="0" w:color="auto"/>
                    <w:right w:val="none" w:sz="0" w:space="0" w:color="auto"/>
                  </w:divBdr>
                  <w:divsChild>
                    <w:div w:id="1511524090">
                      <w:marLeft w:val="0"/>
                      <w:marRight w:val="0"/>
                      <w:marTop w:val="0"/>
                      <w:marBottom w:val="450"/>
                      <w:divBdr>
                        <w:top w:val="none" w:sz="0" w:space="0" w:color="auto"/>
                        <w:left w:val="none" w:sz="0" w:space="0" w:color="auto"/>
                        <w:bottom w:val="none" w:sz="0" w:space="0" w:color="auto"/>
                        <w:right w:val="none" w:sz="0" w:space="0" w:color="auto"/>
                      </w:divBdr>
                      <w:divsChild>
                        <w:div w:id="60261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ian.Laughland@gjnh.scot.nhs.uk" TargetMode="External"/><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2631</Words>
  <Characters>15003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17599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E0025364</dc:creator>
  <cp:lastModifiedBy>PrenticeC</cp:lastModifiedBy>
  <cp:revision>2</cp:revision>
  <cp:lastPrinted>2018-07-24T08:41:00Z</cp:lastPrinted>
  <dcterms:created xsi:type="dcterms:W3CDTF">2018-11-16T10:08:00Z</dcterms:created>
  <dcterms:modified xsi:type="dcterms:W3CDTF">2018-11-16T10:08:00Z</dcterms:modified>
</cp:coreProperties>
</file>